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DocumentFor"/>
      <w:bookmarkEnd w:id="0"/>
      <w:bookmarkStart w:id="1" w:name="Title"/>
      <w:bookmarkEnd w:id="1"/>
      <w:bookmarkStart w:id="2" w:name="_Toc193024528"/>
      <w:r>
        <w:rPr>
          <w:rFonts w:ascii="Arial" w:hAnsi="Arial" w:cs="Arial"/>
          <w:b/>
          <w:sz w:val="24"/>
          <w:szCs w:val="24"/>
        </w:rPr>
        <w:t>3GPP TSG-RAN WG4 Meeting #</w:t>
      </w:r>
      <w:r>
        <w:t xml:space="preserve"> </w:t>
      </w:r>
      <w:r>
        <w:rPr>
          <w:rFonts w:ascii="Arial" w:hAnsi="Arial" w:cs="Arial"/>
          <w:b/>
          <w:sz w:val="24"/>
          <w:szCs w:val="24"/>
        </w:rPr>
        <w:t>98-bis-e</w:t>
      </w:r>
      <w:r>
        <w:rPr>
          <w:rFonts w:hint="eastAsia" w:eastAsia="宋体" w:cs="Arial"/>
          <w:b/>
          <w:sz w:val="24"/>
          <w:szCs w:val="24"/>
          <w:lang w:val="en-US" w:eastAsia="zh-CN"/>
        </w:rPr>
        <w:t xml:space="preserve">                                                        </w:t>
      </w:r>
      <w:bookmarkStart w:id="3" w:name="_GoBack"/>
      <w:bookmarkEnd w:id="3"/>
      <w:r>
        <w:rPr>
          <w:rFonts w:hint="eastAsia" w:eastAsia="宋体" w:cs="Arial"/>
          <w:b/>
          <w:sz w:val="24"/>
          <w:szCs w:val="24"/>
          <w:lang w:val="en-US" w:eastAsia="zh-CN"/>
        </w:rPr>
        <w:t>R4-210636</w:t>
      </w:r>
      <w:r>
        <w:rPr>
          <w:rFonts w:ascii="Arial" w:hAnsi="Arial" w:cs="Arial"/>
          <w:b/>
          <w:sz w:val="24"/>
          <w:szCs w:val="24"/>
        </w:rPr>
        <w:t>4</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r>
        <w:rPr>
          <w:rFonts w:ascii="Arial" w:hAnsi="Arial" w:eastAsia="宋体"/>
          <w:b/>
          <w:sz w:val="24"/>
          <w:szCs w:val="24"/>
          <w:lang w:eastAsia="zh-CN"/>
        </w:rPr>
        <w:t>Electronic Meeting, Apr. 12-20, 2021</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0"/>
          <w:szCs w:val="20"/>
          <w:highlight w:val="none"/>
          <w:lang w:eastAsia="zh-CN"/>
        </w:rPr>
        <w:t>ZTE</w:t>
      </w:r>
      <w:r>
        <w:rPr>
          <w:rFonts w:hint="default" w:ascii="Arial" w:hAnsi="Arial" w:eastAsia="宋体" w:cs="Arial"/>
          <w:b w:val="0"/>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ascii="Arial" w:hAnsi="Arial" w:cs="Arial"/>
          <w:b w:val="0"/>
          <w:bCs/>
          <w:sz w:val="20"/>
          <w:szCs w:val="20"/>
          <w:lang w:val="en-US" w:eastAsia="zh-CN"/>
        </w:rPr>
        <w:t xml:space="preserve">Discussion on </w:t>
      </w:r>
      <w:r>
        <w:rPr>
          <w:rFonts w:hint="eastAsia" w:cs="Arial"/>
          <w:b w:val="0"/>
          <w:bCs/>
          <w:sz w:val="20"/>
          <w:szCs w:val="20"/>
          <w:lang w:val="en-US" w:eastAsia="zh-CN"/>
        </w:rPr>
        <w:t xml:space="preserve">CBM&amp;IBM for </w:t>
      </w:r>
      <w:r>
        <w:rPr>
          <w:rFonts w:hint="eastAsia" w:ascii="Arial" w:hAnsi="Arial" w:cs="Arial"/>
          <w:b w:val="0"/>
          <w:bCs/>
          <w:sz w:val="20"/>
          <w:szCs w:val="20"/>
        </w:rPr>
        <w:t>FR2 Inter-band DL 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8.3.2.1.1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In last RAN4 #98e meeting, two WFs[1] were agreed on applicability of CBM/IBM for different CA. </w:t>
      </w:r>
      <w:r>
        <w:rPr>
          <w:rFonts w:hint="eastAsia" w:ascii="Times New Roman" w:hAnsi="Times New Roman" w:eastAsia="宋体" w:cs="Times New Roman"/>
          <w:i w:val="0"/>
          <w:iCs w:val="0"/>
          <w:sz w:val="20"/>
          <w:szCs w:val="22"/>
          <w:highlight w:val="none"/>
          <w:lang w:val="en-US" w:eastAsia="zh-CN"/>
        </w:rPr>
        <w:t>In this contribution, we 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w:t>
      </w:r>
      <w:r>
        <w:rPr>
          <w:rFonts w:hint="eastAsia" w:eastAsia="宋体" w:cs="Times New Roman"/>
          <w:i w:val="0"/>
          <w:iCs w:val="0"/>
          <w:sz w:val="20"/>
          <w:szCs w:val="22"/>
          <w:highlight w:val="none"/>
          <w:lang w:val="en-US" w:eastAsia="zh-CN"/>
        </w:rPr>
        <w:t>some issues</w:t>
      </w:r>
      <w:r>
        <w:rPr>
          <w:rFonts w:hint="eastAsia" w:ascii="Times New Roman" w:hAnsi="Times New Roman" w:eastAsia="宋体" w:cs="Times New Roman"/>
          <w:i w:val="0"/>
          <w:iCs w:val="0"/>
          <w:sz w:val="20"/>
          <w:szCs w:val="22"/>
          <w:highlight w:val="none"/>
          <w:lang w:val="en-US" w:eastAsia="zh-CN"/>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b/>
          <w:bCs/>
          <w:sz w:val="20"/>
          <w:szCs w:val="20"/>
          <w:u w:val="single"/>
          <w:lang w:val="en-US" w:eastAsia="zh-CN"/>
        </w:rPr>
      </w:pPr>
      <w:r>
        <w:rPr>
          <w:rFonts w:hint="eastAsia"/>
          <w:b/>
          <w:bCs/>
          <w:sz w:val="20"/>
          <w:szCs w:val="20"/>
          <w:u w:val="single"/>
          <w:lang w:val="en-US" w:eastAsia="zh-CN"/>
        </w:rPr>
        <w:t>Requirements for CBM/IBM supported for band combination</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lang w:val="en-US" w:eastAsia="zh-CN"/>
        </w:rPr>
      </w:pPr>
      <w:r>
        <w:rPr>
          <w:rFonts w:hint="eastAsia"/>
          <w:sz w:val="20"/>
          <w:szCs w:val="20"/>
          <w:lang w:val="en-US" w:eastAsia="zh-CN"/>
        </w:rPr>
        <w:t xml:space="preserve">In Rel-16, only CA_n260+n261 band combinations was introduced and the requirements are </w:t>
      </w:r>
      <w:r>
        <w:rPr>
          <w:rFonts w:hint="eastAsia"/>
          <w:sz w:val="20"/>
          <w:lang w:val="en-US" w:eastAsia="zh-CN"/>
        </w:rPr>
        <w:t>only applicable to inter-band CA with IBM type.</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sz w:val="20"/>
          <w:lang w:val="en-US" w:eastAsia="zh-CN"/>
        </w:rPr>
      </w:pPr>
      <w:r>
        <w:rPr>
          <w:rFonts w:hint="eastAsia"/>
          <w:sz w:val="20"/>
          <w:lang w:val="en-US" w:eastAsia="zh-CN"/>
        </w:rPr>
        <w:t>In Rel-17, there are two feasibility studies for CA configuration for the DL:</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ascii="Times New Roman" w:hAnsi="Times New Roman" w:eastAsia="MS Mincho" w:cs="Times New Roman"/>
          <w:sz w:val="20"/>
          <w:szCs w:val="20"/>
          <w:lang w:val="en-US" w:eastAsia="zh-CN"/>
        </w:rPr>
      </w:pPr>
      <w:r>
        <w:rPr>
          <w:rFonts w:hint="eastAsia" w:cs="Times New Roman"/>
          <w:sz w:val="20"/>
          <w:szCs w:val="20"/>
          <w:lang w:val="en-US" w:eastAsia="zh-CN"/>
        </w:rPr>
        <w:t xml:space="preserve">- </w:t>
      </w:r>
      <w:r>
        <w:rPr>
          <w:rFonts w:hint="eastAsia" w:ascii="Times New Roman" w:hAnsi="Times New Roman" w:eastAsia="MS Mincho" w:cs="Times New Roman"/>
          <w:sz w:val="20"/>
          <w:szCs w:val="20"/>
          <w:lang w:val="en-US" w:eastAsia="zh-CN"/>
        </w:rPr>
        <w:t>Feasibility study for CA configurations within same frequency group based on IBM</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cs="Times New Roman"/>
          <w:sz w:val="20"/>
          <w:szCs w:val="20"/>
          <w:lang w:val="en-US" w:eastAsia="zh-CN"/>
        </w:rPr>
      </w:pPr>
      <w:r>
        <w:rPr>
          <w:rFonts w:hint="eastAsia" w:cs="Times New Roman"/>
          <w:sz w:val="20"/>
          <w:szCs w:val="20"/>
          <w:lang w:val="en-US" w:eastAsia="zh-CN"/>
        </w:rPr>
        <w:t xml:space="preserve">- </w:t>
      </w:r>
      <w:r>
        <w:rPr>
          <w:rFonts w:hint="eastAsia" w:ascii="Times New Roman" w:hAnsi="Times New Roman" w:eastAsia="MS Mincho" w:cs="Times New Roman"/>
          <w:sz w:val="20"/>
          <w:szCs w:val="20"/>
          <w:lang w:val="en-US" w:eastAsia="zh-CN"/>
        </w:rPr>
        <w:t>Feasibility study for CA configurations between different frequency groups based on CBM</w:t>
      </w:r>
      <w:r>
        <w:rPr>
          <w:rFonts w:hint="eastAsia" w:cs="Times New Roman"/>
          <w:sz w:val="20"/>
          <w:szCs w:val="20"/>
          <w:lang w:val="en-US" w:eastAsia="zh-CN"/>
        </w:rPr>
        <w:t>.</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sz w:val="20"/>
          <w:szCs w:val="20"/>
          <w:lang w:val="en-US" w:eastAsia="zh-CN"/>
        </w:rPr>
      </w:pPr>
      <w:r>
        <w:rPr>
          <w:rFonts w:hint="eastAsia"/>
          <w:sz w:val="20"/>
          <w:szCs w:val="20"/>
          <w:lang w:val="en-US" w:eastAsia="zh-CN"/>
        </w:rPr>
        <w:t xml:space="preserve">It is agreed that RAN4 will not label CBM or IBM as a default BM method for any band combination. </w:t>
      </w:r>
      <w:r>
        <w:rPr>
          <w:rFonts w:hint="eastAsia" w:ascii="Times New Roman" w:hAnsi="Times New Roman" w:eastAsia="MS Mincho" w:cs="Times New Roman"/>
          <w:sz w:val="20"/>
          <w:szCs w:val="20"/>
          <w:lang w:val="en-US" w:eastAsia="zh-CN"/>
        </w:rPr>
        <w:t xml:space="preserve">To date, there are no consensus on the above feasibility studies, </w:t>
      </w:r>
      <w:r>
        <w:rPr>
          <w:rFonts w:hint="eastAsia" w:cs="Times New Roman"/>
          <w:sz w:val="20"/>
          <w:szCs w:val="20"/>
          <w:lang w:val="en-US" w:eastAsia="zh-CN"/>
        </w:rPr>
        <w:t xml:space="preserve">it can be foreseen that </w:t>
      </w:r>
      <w:r>
        <w:rPr>
          <w:rFonts w:hint="eastAsia"/>
          <w:sz w:val="20"/>
          <w:szCs w:val="20"/>
          <w:lang w:val="en-US" w:eastAsia="zh-CN"/>
        </w:rPr>
        <w:t>the RF requirements for CBM and IBM for band combination may not the same, even the framework may be different, according to the WF[1].</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szCs w:val="20"/>
          <w:lang w:val="en-US" w:eastAsia="zh-CN"/>
        </w:rPr>
      </w:pPr>
      <w:r>
        <w:rPr>
          <w:rFonts w:hint="eastAsia"/>
          <w:sz w:val="20"/>
          <w:szCs w:val="20"/>
          <w:lang w:val="en-US" w:eastAsia="zh-CN"/>
        </w:rPr>
        <w:t xml:space="preserve">Since CBM and IBM are UE capability parameters, hence such information of CBM and IBM are not included in the basket WID when proponents request their combinations, which means we do not know which capabilities will be supported for a certain band combination before the </w:t>
      </w:r>
      <w:r>
        <w:rPr>
          <w:rFonts w:hint="eastAsia" w:ascii="Times New Roman" w:hAnsi="Times New Roman" w:eastAsia="MS Mincho" w:cs="Times New Roman"/>
          <w:b w:val="0"/>
          <w:i w:val="0"/>
          <w:caps w:val="0"/>
          <w:spacing w:val="0"/>
          <w:sz w:val="20"/>
          <w:szCs w:val="20"/>
          <w:shd w:val="clear"/>
          <w:lang w:val="en-US" w:eastAsia="zh-CN"/>
        </w:rPr>
        <w:t>concrete </w:t>
      </w:r>
      <w:r>
        <w:rPr>
          <w:rFonts w:hint="eastAsia" w:cs="Times New Roman"/>
          <w:b w:val="0"/>
          <w:i w:val="0"/>
          <w:caps w:val="0"/>
          <w:spacing w:val="0"/>
          <w:sz w:val="20"/>
          <w:szCs w:val="20"/>
          <w:shd w:val="clear"/>
          <w:lang w:val="en-US" w:eastAsia="zh-CN"/>
        </w:rPr>
        <w:t>work start.</w:t>
      </w:r>
      <w:r>
        <w:rPr>
          <w:rFonts w:hint="eastAsia"/>
          <w:sz w:val="20"/>
          <w:szCs w:val="20"/>
          <w:lang w:val="en-US" w:eastAsia="zh-CN"/>
        </w:rPr>
        <w:t xml:space="preserve"> </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szCs w:val="20"/>
          <w:lang w:val="en-US" w:eastAsia="zh-CN"/>
        </w:rPr>
      </w:pPr>
      <w:r>
        <w:rPr>
          <w:rFonts w:hint="eastAsia"/>
          <w:sz w:val="20"/>
          <w:szCs w:val="20"/>
          <w:lang w:val="en-US" w:eastAsia="zh-CN"/>
        </w:rPr>
        <w:t>Lacking of CBM and IBM information at the stage of requesting, there may exist three cases for a certain band combination:</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szCs w:val="20"/>
          <w:lang w:val="en-US" w:eastAsia="zh-CN"/>
        </w:rPr>
      </w:pPr>
      <w:r>
        <w:rPr>
          <w:rFonts w:hint="eastAsia"/>
          <w:sz w:val="20"/>
          <w:szCs w:val="20"/>
          <w:lang w:val="en-US" w:eastAsia="zh-CN"/>
        </w:rPr>
        <w:t>Case 1: Only support CBM indicated by UE capability</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szCs w:val="20"/>
          <w:lang w:val="en-US" w:eastAsia="zh-CN"/>
        </w:rPr>
      </w:pPr>
      <w:r>
        <w:rPr>
          <w:rFonts w:hint="eastAsia"/>
          <w:sz w:val="20"/>
          <w:szCs w:val="20"/>
          <w:lang w:val="en-US" w:eastAsia="zh-CN"/>
        </w:rPr>
        <w:t>Case 2: Only support IBM indicated by UE capability</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szCs w:val="20"/>
          <w:lang w:val="en-US" w:eastAsia="zh-CN"/>
        </w:rPr>
      </w:pPr>
      <w:r>
        <w:rPr>
          <w:rFonts w:hint="eastAsia"/>
          <w:sz w:val="20"/>
          <w:szCs w:val="20"/>
          <w:lang w:val="en-US" w:eastAsia="zh-CN"/>
        </w:rPr>
        <w:t>Case 3: Support both CBM and IBM indicated by UE capability</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sz w:val="20"/>
          <w:szCs w:val="20"/>
          <w:lang w:val="en-US" w:eastAsia="zh-CN"/>
        </w:rPr>
      </w:pPr>
      <w:r>
        <w:rPr>
          <w:rFonts w:hint="eastAsia"/>
          <w:sz w:val="20"/>
          <w:szCs w:val="20"/>
          <w:lang w:val="en-US" w:eastAsia="zh-CN"/>
        </w:rPr>
        <w:t>For case 1 and case 2, we believe only CBM and IBM series requirement are applied, respectively. For case 3, it should be discussed whether the case 1 and case 2 can be reused for each beam management capability, or the most stringent requirements</w:t>
      </w:r>
      <w:r>
        <w:rPr>
          <w:rFonts w:hint="default" w:ascii="Times New Roman" w:hAnsi="Times New Roman" w:cs="Times New Roman"/>
          <w:sz w:val="20"/>
          <w:szCs w:val="20"/>
          <w:lang w:val="en-US" w:eastAsia="zh-CN"/>
        </w:rPr>
        <w:t xml:space="preserve"> (i.e.</w:t>
      </w:r>
      <w:r>
        <w:rPr>
          <w:rFonts w:hint="default" w:ascii="Times New Roman" w:hAnsi="Times New Roman" w:cs="Times New Roman"/>
          <w:b w:val="0"/>
          <w:bCs w:val="0"/>
          <w:sz w:val="20"/>
          <w:szCs w:val="20"/>
          <w:lang w:val="en-US" w:eastAsia="zh-CN"/>
        </w:rPr>
        <w:t xml:space="preserve"> </w:t>
      </w:r>
      <w:r>
        <w:rPr>
          <w:rFonts w:ascii="Times New Roman" w:hAnsi="Times New Roman" w:eastAsia="Malgun Gothic" w:cs="Times New Roman"/>
          <w:b w:val="0"/>
          <w:bCs w:val="0"/>
          <w:sz w:val="18"/>
        </w:rPr>
        <w:t>ΔR</w:t>
      </w:r>
      <w:r>
        <w:rPr>
          <w:rFonts w:ascii="Times New Roman" w:hAnsi="Times New Roman" w:eastAsia="Malgun Gothic" w:cs="Times New Roman"/>
          <w:b w:val="0"/>
          <w:bCs w:val="0"/>
          <w:sz w:val="18"/>
          <w:vertAlign w:val="subscript"/>
        </w:rPr>
        <w:t>IB,P,n</w:t>
      </w:r>
      <w:r>
        <w:rPr>
          <w:rFonts w:hint="default" w:ascii="Times New Roman" w:hAnsi="Times New Roman" w:eastAsia="宋体" w:cs="Times New Roman"/>
          <w:b w:val="0"/>
          <w:bCs w:val="0"/>
          <w:sz w:val="18"/>
          <w:vertAlign w:val="subscript"/>
          <w:lang w:val="en-US" w:eastAsia="zh-CN"/>
        </w:rPr>
        <w:t xml:space="preserve"> </w:t>
      </w:r>
      <w:r>
        <w:rPr>
          <w:rFonts w:hint="default" w:ascii="Times New Roman" w:hAnsi="Times New Roman" w:eastAsia="宋体" w:cs="Times New Roman"/>
          <w:b w:val="0"/>
          <w:bCs w:val="0"/>
          <w:sz w:val="18"/>
          <w:vertAlign w:val="baseline"/>
          <w:lang w:val="en-US" w:eastAsia="zh-CN"/>
        </w:rPr>
        <w:t>and</w:t>
      </w:r>
      <w:r>
        <w:rPr>
          <w:rFonts w:hint="default" w:ascii="Times New Roman" w:hAnsi="Times New Roman" w:eastAsia="宋体" w:cs="Times New Roman"/>
          <w:b w:val="0"/>
          <w:bCs w:val="0"/>
          <w:sz w:val="18"/>
          <w:vertAlign w:val="subscript"/>
          <w:lang w:val="en-US" w:eastAsia="zh-CN"/>
        </w:rPr>
        <w:t xml:space="preserve"> </w:t>
      </w:r>
      <w:r>
        <w:rPr>
          <w:rFonts w:ascii="Times New Roman" w:hAnsi="Times New Roman" w:eastAsia="Malgun Gothic" w:cs="Times New Roman"/>
          <w:b w:val="0"/>
          <w:bCs/>
          <w:sz w:val="18"/>
        </w:rPr>
        <w:t>ΔR</w:t>
      </w:r>
      <w:r>
        <w:rPr>
          <w:rFonts w:ascii="Times New Roman" w:hAnsi="Times New Roman" w:eastAsia="Malgun Gothic" w:cs="Times New Roman"/>
          <w:b w:val="0"/>
          <w:bCs/>
          <w:sz w:val="18"/>
          <w:vertAlign w:val="subscript"/>
        </w:rPr>
        <w:t>IB,S,n</w:t>
      </w:r>
      <w:r>
        <w:rPr>
          <w:rFonts w:hint="eastAsia"/>
          <w:sz w:val="20"/>
          <w:szCs w:val="20"/>
          <w:lang w:val="en-US" w:eastAsia="zh-CN"/>
        </w:rPr>
        <w:t>) between case 1 and case 2 can be applied.</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szCs w:val="20"/>
          <w:lang w:val="en-US" w:eastAsia="zh-CN"/>
        </w:rPr>
      </w:pPr>
      <w:r>
        <w:rPr>
          <w:rFonts w:hint="eastAsia"/>
          <w:sz w:val="20"/>
          <w:szCs w:val="20"/>
          <w:lang w:val="en-US" w:eastAsia="zh-CN"/>
        </w:rPr>
        <w:t xml:space="preserve">Although these RF requirements are discussed in Rel-17, </w:t>
      </w:r>
      <w:r>
        <w:rPr>
          <w:rFonts w:hint="eastAsia" w:cs="Times New Roman"/>
          <w:sz w:val="20"/>
          <w:szCs w:val="20"/>
          <w:lang w:val="en-US" w:eastAsia="zh-CN"/>
        </w:rPr>
        <w:t>c</w:t>
      </w:r>
      <w:r>
        <w:rPr>
          <w:rFonts w:hint="eastAsia" w:ascii="Times New Roman" w:hAnsi="Times New Roman" w:eastAsia="MS Mincho" w:cs="Times New Roman"/>
          <w:sz w:val="20"/>
          <w:szCs w:val="20"/>
          <w:lang w:val="en-US" w:eastAsia="zh-CN"/>
        </w:rPr>
        <w:t>onsidering the FR2+FR2 band combinations are release independence from Rel-16</w:t>
      </w:r>
      <w:r>
        <w:rPr>
          <w:rFonts w:hint="eastAsia"/>
          <w:sz w:val="20"/>
          <w:szCs w:val="20"/>
          <w:lang w:val="en-US" w:eastAsia="zh-CN"/>
        </w:rPr>
        <w:t>, we think such information should be explicitly indicated in the TP study and in the specification, likely simultaneous Rx/Tx capability for FR1+FR1 band combination.</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b/>
          <w:bCs/>
          <w:sz w:val="20"/>
          <w:szCs w:val="20"/>
          <w:lang w:val="en-US" w:eastAsia="zh-CN"/>
        </w:rPr>
      </w:pPr>
      <w:r>
        <w:rPr>
          <w:rFonts w:hint="eastAsia"/>
          <w:b/>
          <w:bCs/>
          <w:sz w:val="20"/>
          <w:szCs w:val="20"/>
          <w:lang w:val="en-US" w:eastAsia="zh-CN"/>
        </w:rPr>
        <w:t>Proposal 1. CBM and IBM should be explicitly indicated in the TP study and in the TS38.101-2 for FR2+FR2 band combination.</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lang w:val="en-US" w:eastAsia="zh-CN"/>
        </w:rPr>
      </w:pPr>
      <w:r>
        <w:rPr>
          <w:rFonts w:hint="eastAsia"/>
          <w:sz w:val="20"/>
          <w:lang w:val="en-US" w:eastAsia="zh-CN"/>
        </w:rPr>
        <w:t>One of an example to add such information for band combination in table 5.2A.2-1 with some notes (Just for example) can be found below:</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lang w:val="en-US" w:eastAsia="zh-CN"/>
        </w:rPr>
      </w:pP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sz w:val="20"/>
          <w:lang w:val="en-US" w:eastAsia="zh-CN"/>
        </w:rPr>
      </w:pP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sz w:val="20"/>
          <w:lang w:val="en-US" w:eastAsia="zh-CN"/>
        </w:rPr>
      </w:pP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jc w:val="center"/>
        <w:textAlignment w:val="auto"/>
        <w:outlineLvl w:val="9"/>
        <w:rPr>
          <w:rFonts w:hint="default"/>
          <w:sz w:val="20"/>
          <w:lang w:val="en-US" w:eastAsia="zh-CN"/>
        </w:rPr>
      </w:pPr>
      <w:r>
        <w:rPr>
          <w:rFonts w:hint="default"/>
          <w:sz w:val="20"/>
          <w:lang w:val="en-US" w:eastAsia="zh-CN"/>
        </w:rPr>
        <w:t>Table 5.2A.2-1: Inter-band CA operating bands in FR2</w:t>
      </w:r>
    </w:p>
    <w:tbl>
      <w:tblPr>
        <w:tblStyle w:val="76"/>
        <w:tblW w:w="5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2"/>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602" w:type="dxa"/>
            <w:tcBorders>
              <w:top w:val="single" w:color="auto" w:sz="4" w:space="0"/>
              <w:left w:val="single" w:color="auto" w:sz="4" w:space="0"/>
              <w:bottom w:val="single" w:color="auto" w:sz="4" w:space="0"/>
              <w:right w:val="single" w:color="auto" w:sz="4" w:space="0"/>
            </w:tcBorders>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ind w:leftChars="0"/>
              <w:textAlignment w:val="auto"/>
              <w:outlineLvl w:val="9"/>
              <w:rPr>
                <w:rFonts w:hint="default"/>
                <w:sz w:val="20"/>
                <w:lang w:val="en-US" w:eastAsia="zh-CN"/>
              </w:rPr>
            </w:pPr>
            <w:r>
              <w:rPr>
                <w:rFonts w:hint="default"/>
                <w:sz w:val="20"/>
                <w:lang w:val="en-US" w:eastAsia="zh-CN"/>
              </w:rPr>
              <w:t>NR CA Band</w:t>
            </w:r>
          </w:p>
        </w:tc>
        <w:tc>
          <w:tcPr>
            <w:tcW w:w="2834" w:type="dxa"/>
            <w:tcBorders>
              <w:top w:val="single" w:color="auto" w:sz="4" w:space="0"/>
              <w:left w:val="single" w:color="auto" w:sz="4" w:space="0"/>
              <w:bottom w:val="single" w:color="auto" w:sz="4" w:space="0"/>
              <w:right w:val="single" w:color="auto" w:sz="4" w:space="0"/>
            </w:tcBorders>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ind w:leftChars="0"/>
              <w:textAlignment w:val="auto"/>
              <w:outlineLvl w:val="9"/>
              <w:rPr>
                <w:rFonts w:hint="default"/>
                <w:sz w:val="20"/>
                <w:lang w:val="en-US" w:eastAsia="zh-CN"/>
              </w:rPr>
            </w:pPr>
            <w:r>
              <w:rPr>
                <w:rFonts w:hint="default"/>
                <w:sz w:val="20"/>
                <w:lang w:val="en-US" w:eastAsia="zh-CN"/>
              </w:rPr>
              <w:t>NR Band</w:t>
            </w:r>
          </w:p>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ind w:leftChars="0"/>
              <w:textAlignment w:val="auto"/>
              <w:outlineLvl w:val="9"/>
              <w:rPr>
                <w:rFonts w:hint="default"/>
                <w:sz w:val="20"/>
                <w:lang w:val="en-US" w:eastAsia="zh-CN"/>
              </w:rPr>
            </w:pPr>
            <w:r>
              <w:rPr>
                <w:rFonts w:hint="default"/>
                <w:sz w:val="20"/>
                <w:lang w:val="en-US" w:eastAsia="zh-CN"/>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602" w:type="dxa"/>
            <w:tcBorders>
              <w:top w:val="single" w:color="auto" w:sz="4" w:space="0"/>
              <w:left w:val="single" w:color="auto" w:sz="4" w:space="0"/>
              <w:bottom w:val="single" w:color="auto" w:sz="4" w:space="0"/>
              <w:right w:val="single" w:color="auto" w:sz="4" w:space="0"/>
            </w:tcBorders>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ind w:leftChars="0"/>
              <w:textAlignment w:val="auto"/>
              <w:outlineLvl w:val="9"/>
              <w:rPr>
                <w:rFonts w:hint="default"/>
                <w:sz w:val="20"/>
                <w:vertAlign w:val="superscript"/>
                <w:lang w:val="en-US" w:eastAsia="zh-CN"/>
              </w:rPr>
            </w:pPr>
            <w:r>
              <w:rPr>
                <w:rFonts w:hint="default"/>
                <w:sz w:val="20"/>
                <w:lang w:val="en-US" w:eastAsia="zh-CN"/>
              </w:rPr>
              <w:t>CA_n260-n261</w:t>
            </w:r>
            <w:r>
              <w:rPr>
                <w:rFonts w:hint="eastAsia"/>
                <w:sz w:val="20"/>
                <w:vertAlign w:val="superscript"/>
                <w:lang w:val="en-US" w:eastAsia="zh-CN"/>
              </w:rPr>
              <w:t>1</w:t>
            </w:r>
          </w:p>
        </w:tc>
        <w:tc>
          <w:tcPr>
            <w:tcW w:w="2834" w:type="dxa"/>
            <w:tcBorders>
              <w:top w:val="single" w:color="auto" w:sz="4" w:space="0"/>
              <w:left w:val="single" w:color="auto" w:sz="4" w:space="0"/>
              <w:bottom w:val="single" w:color="auto" w:sz="4" w:space="0"/>
              <w:right w:val="single" w:color="auto" w:sz="4" w:space="0"/>
            </w:tcBorders>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ind w:leftChars="0"/>
              <w:textAlignment w:val="auto"/>
              <w:outlineLvl w:val="9"/>
              <w:rPr>
                <w:rFonts w:hint="default"/>
                <w:sz w:val="20"/>
                <w:lang w:val="en-US" w:eastAsia="zh-CN"/>
              </w:rPr>
            </w:pPr>
            <w:r>
              <w:rPr>
                <w:rFonts w:hint="default"/>
                <w:sz w:val="20"/>
                <w:lang w:val="en-US" w:eastAsia="zh-CN"/>
              </w:rPr>
              <w:t>n260,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602" w:type="dxa"/>
            <w:tcBorders>
              <w:top w:val="single" w:color="auto" w:sz="4" w:space="0"/>
              <w:left w:val="single" w:color="auto" w:sz="4" w:space="0"/>
              <w:bottom w:val="single" w:color="auto" w:sz="4" w:space="0"/>
              <w:right w:val="single" w:color="auto" w:sz="4" w:space="0"/>
            </w:tcBorders>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ind w:leftChars="0"/>
              <w:textAlignment w:val="auto"/>
              <w:outlineLvl w:val="9"/>
              <w:rPr>
                <w:rFonts w:hint="default"/>
                <w:sz w:val="20"/>
                <w:vertAlign w:val="superscript"/>
                <w:lang w:val="en-US" w:eastAsia="zh-CN"/>
              </w:rPr>
            </w:pPr>
            <w:r>
              <w:rPr>
                <w:rFonts w:hint="default"/>
                <w:sz w:val="20"/>
                <w:lang w:val="en-US" w:eastAsia="zh-CN"/>
              </w:rPr>
              <w:t>CA_n</w:t>
            </w:r>
            <w:r>
              <w:rPr>
                <w:rFonts w:hint="eastAsia"/>
                <w:sz w:val="20"/>
                <w:lang w:val="en-US" w:eastAsia="zh-CN"/>
              </w:rPr>
              <w:t>X</w:t>
            </w:r>
            <w:r>
              <w:rPr>
                <w:rFonts w:hint="default"/>
                <w:sz w:val="20"/>
                <w:lang w:val="en-US" w:eastAsia="zh-CN"/>
              </w:rPr>
              <w:t>-n</w:t>
            </w:r>
            <w:r>
              <w:rPr>
                <w:rFonts w:hint="eastAsia"/>
                <w:sz w:val="20"/>
                <w:lang w:val="en-US" w:eastAsia="zh-CN"/>
              </w:rPr>
              <w:t>Y</w:t>
            </w:r>
            <w:r>
              <w:rPr>
                <w:rFonts w:hint="eastAsia"/>
                <w:sz w:val="20"/>
                <w:vertAlign w:val="superscript"/>
                <w:lang w:val="en-US" w:eastAsia="zh-CN"/>
              </w:rPr>
              <w:t>3</w:t>
            </w:r>
          </w:p>
        </w:tc>
        <w:tc>
          <w:tcPr>
            <w:tcW w:w="2834" w:type="dxa"/>
            <w:tcBorders>
              <w:top w:val="single" w:color="auto" w:sz="4" w:space="0"/>
              <w:left w:val="single" w:color="auto" w:sz="4" w:space="0"/>
              <w:bottom w:val="single" w:color="auto" w:sz="4" w:space="0"/>
              <w:right w:val="single" w:color="auto" w:sz="4" w:space="0"/>
            </w:tcBorders>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ind w:leftChars="0"/>
              <w:textAlignment w:val="auto"/>
              <w:outlineLvl w:val="9"/>
              <w:rPr>
                <w:rFonts w:hint="default"/>
                <w:sz w:val="20"/>
                <w:lang w:val="en-US" w:eastAsia="zh-CN"/>
              </w:rPr>
            </w:pPr>
            <w:r>
              <w:rPr>
                <w:rFonts w:hint="default"/>
                <w:sz w:val="20"/>
                <w:lang w:val="en-US" w:eastAsia="zh-CN"/>
              </w:rPr>
              <w:t>n</w:t>
            </w:r>
            <w:r>
              <w:rPr>
                <w:rFonts w:hint="eastAsia"/>
                <w:sz w:val="20"/>
                <w:lang w:val="en-US" w:eastAsia="zh-CN"/>
              </w:rPr>
              <w:t>X</w:t>
            </w:r>
            <w:r>
              <w:rPr>
                <w:rFonts w:hint="default"/>
                <w:sz w:val="20"/>
                <w:lang w:val="en-US" w:eastAsia="zh-CN"/>
              </w:rPr>
              <w:t>, n</w:t>
            </w:r>
            <w:r>
              <w:rPr>
                <w:rFonts w:hint="eastAsia"/>
                <w:sz w:val="20"/>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436" w:type="dxa"/>
            <w:gridSpan w:val="2"/>
            <w:tcBorders>
              <w:top w:val="single" w:color="auto" w:sz="4" w:space="0"/>
              <w:left w:val="single" w:color="auto" w:sz="4" w:space="0"/>
              <w:bottom w:val="single" w:color="auto" w:sz="4" w:space="0"/>
              <w:right w:val="single" w:color="auto" w:sz="4" w:space="0"/>
            </w:tcBorders>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ind w:leftChars="0"/>
              <w:textAlignment w:val="auto"/>
              <w:outlineLvl w:val="9"/>
              <w:rPr>
                <w:rFonts w:hint="default"/>
                <w:sz w:val="20"/>
                <w:lang w:val="en-US" w:eastAsia="zh-CN"/>
              </w:rPr>
            </w:pPr>
            <w:r>
              <w:rPr>
                <w:rFonts w:hint="eastAsia"/>
                <w:sz w:val="20"/>
                <w:lang w:val="en-US" w:eastAsia="zh-CN"/>
              </w:rPr>
              <w:t>Note 1: Only support IBM....</w:t>
            </w:r>
          </w:p>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ind w:leftChars="0"/>
              <w:textAlignment w:val="auto"/>
              <w:outlineLvl w:val="9"/>
              <w:rPr>
                <w:rFonts w:hint="default"/>
                <w:sz w:val="20"/>
                <w:lang w:val="en-US" w:eastAsia="zh-CN"/>
              </w:rPr>
            </w:pPr>
            <w:r>
              <w:rPr>
                <w:rFonts w:hint="eastAsia"/>
                <w:sz w:val="20"/>
                <w:lang w:val="en-US" w:eastAsia="zh-CN"/>
              </w:rPr>
              <w:t>Note 2: Only support CBM....</w:t>
            </w:r>
          </w:p>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ind w:leftChars="0"/>
              <w:textAlignment w:val="auto"/>
              <w:outlineLvl w:val="9"/>
              <w:rPr>
                <w:rFonts w:hint="default"/>
                <w:sz w:val="20"/>
                <w:lang w:val="en-US" w:eastAsia="zh-CN"/>
              </w:rPr>
            </w:pPr>
            <w:r>
              <w:rPr>
                <w:rFonts w:hint="eastAsia"/>
                <w:sz w:val="20"/>
                <w:lang w:val="en-US" w:eastAsia="zh-CN"/>
              </w:rPr>
              <w:t>Note 3: Both CBM and IBM are supported......</w:t>
            </w:r>
          </w:p>
        </w:tc>
      </w:tr>
    </w:tbl>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jc w:val="center"/>
        <w:textAlignment w:val="auto"/>
        <w:outlineLvl w:val="9"/>
        <w:rPr>
          <w:rFonts w:hint="default"/>
          <w:sz w:val="20"/>
          <w:lang w:val="en-US" w:eastAsia="zh-CN"/>
        </w:rPr>
      </w:pP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bCs/>
          <w:sz w:val="20"/>
          <w:szCs w:val="20"/>
          <w:u w:val="single"/>
          <w:lang w:val="en-US" w:eastAsia="zh-CN"/>
        </w:rPr>
      </w:pPr>
      <w:r>
        <w:rPr>
          <w:rFonts w:hint="eastAsia" w:eastAsia="宋体" w:cs="Times New Roman"/>
          <w:b/>
          <w:bCs/>
          <w:sz w:val="20"/>
          <w:szCs w:val="20"/>
          <w:u w:val="single"/>
          <w:lang w:val="en-US" w:eastAsia="zh-CN"/>
        </w:rPr>
        <w:t>M</w:t>
      </w:r>
      <w:r>
        <w:rPr>
          <w:rFonts w:hint="default" w:ascii="Times New Roman" w:hAnsi="Times New Roman" w:eastAsia="宋体" w:cs="Times New Roman"/>
          <w:b/>
          <w:bCs/>
          <w:sz w:val="20"/>
          <w:szCs w:val="20"/>
          <w:u w:val="single"/>
          <w:lang w:val="en-US" w:eastAsia="zh-CN"/>
        </w:rPr>
        <w:t>aximum number of CC</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Next, there are no consensus on the </w:t>
      </w:r>
      <w:r>
        <w:rPr>
          <w:rFonts w:hint="default" w:ascii="Times New Roman" w:hAnsi="Times New Roman" w:eastAsia="宋体" w:cs="Times New Roman"/>
          <w:sz w:val="20"/>
          <w:szCs w:val="20"/>
          <w:lang w:val="en-US" w:eastAsia="zh-CN"/>
        </w:rPr>
        <w:t xml:space="preserve">maximum number of CCs for </w:t>
      </w:r>
      <w:r>
        <w:rPr>
          <w:rFonts w:hint="eastAsia" w:eastAsia="宋体" w:cs="Times New Roman"/>
          <w:sz w:val="20"/>
          <w:szCs w:val="20"/>
          <w:lang w:val="en-US" w:eastAsia="zh-CN"/>
        </w:rPr>
        <w:t xml:space="preserve">IBM inter-band </w:t>
      </w:r>
      <w:r>
        <w:rPr>
          <w:rFonts w:hint="default" w:ascii="Times New Roman" w:hAnsi="Times New Roman" w:eastAsia="宋体" w:cs="Times New Roman"/>
          <w:sz w:val="20"/>
          <w:szCs w:val="20"/>
          <w:lang w:val="en-US" w:eastAsia="zh-CN"/>
        </w:rPr>
        <w:t>combinations</w:t>
      </w:r>
      <w:r>
        <w:rPr>
          <w:rFonts w:hint="eastAsia" w:eastAsia="宋体" w:cs="Times New Roman"/>
          <w:sz w:val="20"/>
          <w:szCs w:val="20"/>
          <w:lang w:val="en-US" w:eastAsia="zh-CN"/>
        </w:rPr>
        <w:t>, two option 2 were listed in the WF:</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Option 1: no need to limit the maximum number of CCs</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Option 2: maximum number of CCs is FFS, but at least 12</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We think the max. number of CCs depends on the demands of the proponents, and the intentions for limited 12 CCs seems from the current combination status in the basket WID. However, combination requesting work are still going on, it may not appropriate to cap the max. CC number considering the current bandwidth classes defined in the TS38.101-2, all of the configurations requested should compliance to the defined bandwidth classes. Also we think the RF requirements for any configurations of a certain band combination are the same.</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bCs/>
          <w:sz w:val="20"/>
          <w:szCs w:val="20"/>
          <w:lang w:val="en-US" w:eastAsia="zh-CN"/>
        </w:rPr>
      </w:pPr>
      <w:r>
        <w:rPr>
          <w:rFonts w:hint="eastAsia"/>
          <w:b/>
          <w:bCs/>
          <w:sz w:val="20"/>
          <w:szCs w:val="20"/>
          <w:lang w:val="en-US" w:eastAsia="zh-CN"/>
        </w:rPr>
        <w:t>Proposal 2.</w:t>
      </w:r>
      <w:r>
        <w:rPr>
          <w:rFonts w:hint="eastAsia" w:eastAsia="宋体" w:cs="Times New Roman"/>
          <w:b/>
          <w:bCs/>
          <w:sz w:val="20"/>
          <w:szCs w:val="20"/>
          <w:lang w:val="en-US" w:eastAsia="zh-CN"/>
        </w:rPr>
        <w:t xml:space="preserve"> N</w:t>
      </w:r>
      <w:r>
        <w:rPr>
          <w:rFonts w:hint="default" w:ascii="Times New Roman" w:hAnsi="Times New Roman" w:eastAsia="宋体" w:cs="Times New Roman"/>
          <w:b/>
          <w:bCs/>
          <w:sz w:val="20"/>
          <w:szCs w:val="20"/>
          <w:lang w:val="en-US" w:eastAsia="zh-CN"/>
        </w:rPr>
        <w:t>o need to limit the maximum number of CCs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u w:val="single"/>
          <w:lang w:val="en-US" w:eastAsia="zh-CN"/>
        </w:rPr>
      </w:pPr>
      <w:r>
        <w:rPr>
          <w:rFonts w:hint="default" w:eastAsia="宋体" w:cs="Times New Roman"/>
          <w:b/>
          <w:bCs/>
          <w:sz w:val="20"/>
          <w:szCs w:val="20"/>
          <w:highlight w:val="none"/>
          <w:u w:val="single"/>
          <w:lang w:val="en-US" w:eastAsia="zh-CN"/>
        </w:rPr>
        <w:t xml:space="preserve">Fs_inter_CBM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lang w:val="en-US" w:eastAsia="zh-CN"/>
        </w:rPr>
      </w:pPr>
      <w:r>
        <w:rPr>
          <w:rFonts w:hint="eastAsia" w:eastAsia="宋体" w:cs="Times New Roman"/>
          <w:b w:val="0"/>
          <w:bCs w:val="0"/>
          <w:sz w:val="20"/>
          <w:szCs w:val="20"/>
          <w:highlight w:val="none"/>
          <w:lang w:val="en-US" w:eastAsia="zh-CN"/>
        </w:rPr>
        <w:t xml:space="preserve">Another issue listed in the WF[2] is whether or not introduce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as UE capability, shown below:</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lang w:val="en-US" w:eastAsia="zh-CN"/>
        </w:rPr>
      </w:pPr>
      <w:r>
        <w:drawing>
          <wp:inline distT="0" distB="0" distL="114300" distR="114300">
            <wp:extent cx="5829300" cy="92329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5829300" cy="923290"/>
                    </a:xfrm>
                    <a:prstGeom prst="rect">
                      <a:avLst/>
                    </a:prstGeom>
                    <a:noFill/>
                    <a:ln>
                      <a:noFill/>
                    </a:ln>
                  </pic:spPr>
                </pic:pic>
              </a:graphicData>
            </a:graphic>
          </wp:inline>
        </w:drawing>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In our understanding, the intention of introduction of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is to further restrict the frequency location for CCs configurations within the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when UE report CBM capability for a band combination, in order to avoid large REFSEN and EIS requirements degradation, and NW can only schedule the CCs frequency location within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As illustrated in Fig.1, only CC2+CC3 can be used as CBM inter-band CA, while for CC1+CC3, CBM capability cannot be used. </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eastAsia="宋体" w:cs="Times New Roman"/>
          <w:b w:val="0"/>
          <w:bCs w:val="0"/>
          <w:sz w:val="20"/>
          <w:szCs w:val="20"/>
          <w:highlight w:val="none"/>
          <w:lang w:val="en-US" w:eastAsia="zh-CN"/>
        </w:rPr>
      </w:pPr>
      <w:r>
        <w:drawing>
          <wp:inline distT="0" distB="0" distL="114300" distR="114300">
            <wp:extent cx="5540375" cy="848360"/>
            <wp:effectExtent l="0" t="0" r="3175" b="889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5540375" cy="848360"/>
                    </a:xfrm>
                    <a:prstGeom prst="rect">
                      <a:avLst/>
                    </a:prstGeom>
                    <a:noFill/>
                    <a:ln>
                      <a:noFill/>
                    </a:ln>
                  </pic:spPr>
                </pic:pic>
              </a:graphicData>
            </a:graphic>
          </wp:inline>
        </w:drawing>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Fig.1 </w:t>
      </w:r>
      <w:r>
        <w:rPr>
          <w:rFonts w:hint="default" w:eastAsia="宋体" w:cs="Times New Roman"/>
          <w:b w:val="0"/>
          <w:bCs w:val="0"/>
          <w:sz w:val="20"/>
          <w:szCs w:val="20"/>
          <w:highlight w:val="none"/>
          <w:lang w:val="en-US" w:eastAsia="zh-CN"/>
        </w:rPr>
        <w:t>Fs_inter_CBM</w:t>
      </w:r>
    </w:p>
    <w:p>
      <w:pPr>
        <w:pStyle w:val="143"/>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The CBM/IBM capability signaling is defined as </w:t>
      </w:r>
      <w:r>
        <w:rPr>
          <w:rFonts w:hint="default" w:ascii="Times New Roman" w:hAnsi="Times New Roman" w:eastAsia="宋体" w:cs="Times New Roman"/>
          <w:b w:val="0"/>
          <w:bCs w:val="0"/>
          <w:i/>
          <w:iCs/>
          <w:color w:val="auto"/>
          <w:kern w:val="0"/>
          <w:sz w:val="20"/>
          <w:szCs w:val="20"/>
          <w:highlight w:val="none"/>
          <w:lang w:val="en-US" w:eastAsia="zh-CN" w:bidi="ar-SA"/>
        </w:rPr>
        <w:t>beamManagementType-r16</w:t>
      </w:r>
      <w:r>
        <w:rPr>
          <w:rFonts w:hint="eastAsia" w:ascii="Times New Roman" w:hAnsi="Times New Roman" w:cs="Times New Roman"/>
          <w:b w:val="0"/>
          <w:bCs w:val="0"/>
          <w:color w:val="auto"/>
          <w:kern w:val="0"/>
          <w:sz w:val="20"/>
          <w:szCs w:val="20"/>
          <w:highlight w:val="none"/>
          <w:lang w:val="en-US" w:eastAsia="zh-CN" w:bidi="ar-SA"/>
        </w:rPr>
        <w:t xml:space="preserve"> per BC, i</w:t>
      </w:r>
      <w:r>
        <w:rPr>
          <w:rFonts w:hint="eastAsia" w:ascii="Times New Roman" w:hAnsi="Times New Roman" w:cs="Times New Roman"/>
          <w:bCs w:val="0"/>
          <w:iCs w:val="0"/>
          <w:color w:val="auto"/>
          <w:kern w:val="0"/>
          <w:sz w:val="20"/>
          <w:highlight w:val="none"/>
          <w:lang w:val="en-US" w:eastAsia="zh-CN"/>
        </w:rPr>
        <w:t>ndicates the supported beam management type for inter-band CA within FR2</w:t>
      </w:r>
      <w:r>
        <w:rPr>
          <w:rFonts w:hint="eastAsia" w:ascii="Times New Roman" w:hAnsi="Times New Roman" w:cs="Times New Roman"/>
          <w:b w:val="0"/>
          <w:bCs w:val="0"/>
          <w:color w:val="auto"/>
          <w:kern w:val="0"/>
          <w:sz w:val="20"/>
          <w:szCs w:val="20"/>
          <w:highlight w:val="none"/>
          <w:lang w:val="en-US" w:eastAsia="zh-CN" w:bidi="ar-SA"/>
        </w:rPr>
        <w:t xml:space="preserve">. </w:t>
      </w:r>
    </w:p>
    <w:p>
      <w:pPr>
        <w:pStyle w:val="143"/>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val="0"/>
          <w:bCs w:val="0"/>
          <w:color w:val="auto"/>
          <w:kern w:val="0"/>
          <w:sz w:val="20"/>
          <w:szCs w:val="20"/>
          <w:highlight w:val="none"/>
          <w:lang w:val="en-US" w:eastAsia="zh-CN" w:bidi="ar-SA"/>
        </w:rPr>
      </w:pP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Definitions for parameters</w:t>
            </w:r>
          </w:p>
        </w:tc>
        <w:tc>
          <w:tcPr>
            <w:tcW w:w="709"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Per</w:t>
            </w:r>
          </w:p>
        </w:tc>
        <w:tc>
          <w:tcPr>
            <w:tcW w:w="567"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M</w:t>
            </w:r>
          </w:p>
        </w:tc>
        <w:tc>
          <w:tcPr>
            <w:tcW w:w="709"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FDD-TDD</w:t>
            </w:r>
          </w:p>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DIFF</w:t>
            </w:r>
          </w:p>
        </w:tc>
        <w:tc>
          <w:tcPr>
            <w:tcW w:w="728"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FR1-FR2</w:t>
            </w:r>
          </w:p>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43"/>
              <w:keepNext/>
              <w:keepLines/>
              <w:pageBreakBefore w:val="0"/>
              <w:widowControl w:val="0"/>
              <w:kinsoku/>
              <w:wordWrap/>
              <w:overflowPunct/>
              <w:topLinePunct w:val="0"/>
              <w:autoSpaceDE/>
              <w:autoSpaceDN/>
              <w:bidi w:val="0"/>
              <w:adjustRightInd/>
              <w:snapToGrid/>
              <w:textAlignment w:val="auto"/>
              <w:rPr>
                <w:b/>
                <w:i/>
                <w:color w:val="auto"/>
              </w:rPr>
            </w:pPr>
            <w:r>
              <w:rPr>
                <w:b/>
                <w:i/>
                <w:color w:val="auto"/>
              </w:rPr>
              <w:t>beamManagementType-r16</w:t>
            </w:r>
          </w:p>
          <w:p>
            <w:pPr>
              <w:pStyle w:val="143"/>
              <w:keepNext/>
              <w:keepLines/>
              <w:pageBreakBefore w:val="0"/>
              <w:widowControl w:val="0"/>
              <w:kinsoku/>
              <w:wordWrap/>
              <w:overflowPunct/>
              <w:topLinePunct w:val="0"/>
              <w:autoSpaceDE/>
              <w:autoSpaceDN/>
              <w:bidi w:val="0"/>
              <w:adjustRightInd/>
              <w:snapToGrid/>
              <w:textAlignment w:val="auto"/>
              <w:rPr>
                <w:bCs/>
                <w:iCs/>
                <w:color w:val="auto"/>
              </w:rPr>
            </w:pPr>
            <w:r>
              <w:rPr>
                <w:bCs/>
                <w:iCs/>
                <w:color w:val="auto"/>
              </w:rPr>
              <w:t>Indicates the supported beam management type for inter-band CA within FR2. Beam management type can be independent beam management (IBM) or common beam management (CBM).</w:t>
            </w:r>
          </w:p>
          <w:p>
            <w:pPr>
              <w:pStyle w:val="143"/>
              <w:keepNext/>
              <w:keepLines/>
              <w:pageBreakBefore w:val="0"/>
              <w:widowControl w:val="0"/>
              <w:kinsoku/>
              <w:wordWrap/>
              <w:overflowPunct/>
              <w:topLinePunct w:val="0"/>
              <w:autoSpaceDE/>
              <w:autoSpaceDN/>
              <w:bidi w:val="0"/>
              <w:adjustRightInd/>
              <w:snapToGrid/>
              <w:textAlignment w:val="auto"/>
              <w:rPr>
                <w:color w:val="auto"/>
              </w:rPr>
            </w:pPr>
          </w:p>
          <w:p>
            <w:pPr>
              <w:pStyle w:val="143"/>
              <w:keepNext/>
              <w:keepLines/>
              <w:pageBreakBefore w:val="0"/>
              <w:widowControl w:val="0"/>
              <w:kinsoku/>
              <w:wordWrap/>
              <w:overflowPunct/>
              <w:topLinePunct w:val="0"/>
              <w:autoSpaceDE/>
              <w:autoSpaceDN/>
              <w:bidi w:val="0"/>
              <w:adjustRightInd/>
              <w:snapToGrid/>
              <w:textAlignment w:val="auto"/>
              <w:rPr>
                <w:b/>
                <w:i/>
                <w:color w:val="auto"/>
              </w:rPr>
            </w:pPr>
            <w:r>
              <w:rPr>
                <w:color w:val="auto"/>
              </w:rPr>
              <w:t>In this release of the specification, the UE shall only report value of '</w:t>
            </w:r>
            <w:r>
              <w:rPr>
                <w:i/>
                <w:iCs/>
                <w:color w:val="auto"/>
              </w:rPr>
              <w:t>ibm</w:t>
            </w:r>
            <w:r>
              <w:rPr>
                <w:color w:val="auto"/>
              </w:rPr>
              <w:t>'.</w:t>
            </w:r>
          </w:p>
        </w:tc>
        <w:tc>
          <w:tcPr>
            <w:tcW w:w="709" w:type="dxa"/>
          </w:tcPr>
          <w:p>
            <w:pPr>
              <w:pStyle w:val="143"/>
              <w:keepNext/>
              <w:keepLines/>
              <w:pageBreakBefore w:val="0"/>
              <w:widowControl w:val="0"/>
              <w:kinsoku/>
              <w:wordWrap/>
              <w:overflowPunct/>
              <w:topLinePunct w:val="0"/>
              <w:autoSpaceDE/>
              <w:autoSpaceDN/>
              <w:bidi w:val="0"/>
              <w:adjustRightInd/>
              <w:snapToGrid/>
              <w:jc w:val="center"/>
              <w:textAlignment w:val="auto"/>
              <w:rPr>
                <w:color w:val="auto"/>
              </w:rPr>
            </w:pPr>
            <w:r>
              <w:rPr>
                <w:color w:val="auto"/>
              </w:rPr>
              <w:t>BC</w:t>
            </w:r>
          </w:p>
        </w:tc>
        <w:tc>
          <w:tcPr>
            <w:tcW w:w="567" w:type="dxa"/>
          </w:tcPr>
          <w:p>
            <w:pPr>
              <w:pStyle w:val="143"/>
              <w:keepNext/>
              <w:keepLines/>
              <w:pageBreakBefore w:val="0"/>
              <w:widowControl w:val="0"/>
              <w:kinsoku/>
              <w:wordWrap/>
              <w:overflowPunct/>
              <w:topLinePunct w:val="0"/>
              <w:autoSpaceDE/>
              <w:autoSpaceDN/>
              <w:bidi w:val="0"/>
              <w:adjustRightInd/>
              <w:snapToGrid/>
              <w:jc w:val="center"/>
              <w:textAlignment w:val="auto"/>
              <w:rPr>
                <w:color w:val="auto"/>
              </w:rPr>
            </w:pPr>
            <w:r>
              <w:rPr>
                <w:color w:val="auto"/>
              </w:rPr>
              <w:t>Yes</w:t>
            </w:r>
          </w:p>
        </w:tc>
        <w:tc>
          <w:tcPr>
            <w:tcW w:w="709" w:type="dxa"/>
          </w:tcPr>
          <w:p>
            <w:pPr>
              <w:pStyle w:val="143"/>
              <w:keepNext/>
              <w:keepLines/>
              <w:pageBreakBefore w:val="0"/>
              <w:widowControl w:val="0"/>
              <w:kinsoku/>
              <w:wordWrap/>
              <w:overflowPunct/>
              <w:topLinePunct w:val="0"/>
              <w:autoSpaceDE/>
              <w:autoSpaceDN/>
              <w:bidi w:val="0"/>
              <w:adjustRightInd/>
              <w:snapToGrid/>
              <w:jc w:val="center"/>
              <w:textAlignment w:val="auto"/>
              <w:rPr>
                <w:color w:val="auto"/>
              </w:rPr>
            </w:pPr>
            <w:r>
              <w:rPr>
                <w:bCs/>
                <w:iCs/>
                <w:color w:val="auto"/>
              </w:rPr>
              <w:t>TDD only</w:t>
            </w:r>
          </w:p>
        </w:tc>
        <w:tc>
          <w:tcPr>
            <w:tcW w:w="728" w:type="dxa"/>
          </w:tcPr>
          <w:p>
            <w:pPr>
              <w:pStyle w:val="143"/>
              <w:keepNext/>
              <w:keepLines/>
              <w:pageBreakBefore w:val="0"/>
              <w:widowControl w:val="0"/>
              <w:kinsoku/>
              <w:wordWrap/>
              <w:overflowPunct/>
              <w:topLinePunct w:val="0"/>
              <w:autoSpaceDE/>
              <w:autoSpaceDN/>
              <w:bidi w:val="0"/>
              <w:adjustRightInd/>
              <w:snapToGrid/>
              <w:jc w:val="center"/>
              <w:textAlignment w:val="auto"/>
              <w:rPr>
                <w:color w:val="auto"/>
              </w:rPr>
            </w:pPr>
            <w:r>
              <w:rPr>
                <w:bCs/>
                <w:iCs/>
                <w:color w:val="auto"/>
              </w:rPr>
              <w:t>FR2 only</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sz w:val="20"/>
          <w:highlight w:val="none"/>
          <w:lang w:val="en-US" w:eastAsia="zh-CN"/>
        </w:rPr>
      </w:pPr>
      <w:r>
        <w:rPr>
          <w:rFonts w:hint="eastAsia" w:ascii="Times New Roman" w:hAnsi="Times New Roman" w:cs="Times New Roman"/>
          <w:b w:val="0"/>
          <w:bCs w:val="0"/>
          <w:color w:val="auto"/>
          <w:kern w:val="0"/>
          <w:sz w:val="20"/>
          <w:szCs w:val="20"/>
          <w:highlight w:val="none"/>
          <w:lang w:val="en-US" w:eastAsia="zh-CN" w:bidi="ar-SA"/>
        </w:rPr>
        <w:t>As discussed above, we think if UE report the CBM capability for a certain band combination, then the RF requirements of CBM should be applied for this band combination</w:t>
      </w:r>
      <w:r>
        <w:rPr>
          <w:rFonts w:hint="eastAsia" w:cs="Times New Roman"/>
          <w:b w:val="0"/>
          <w:bCs w:val="0"/>
          <w:color w:val="auto"/>
          <w:kern w:val="0"/>
          <w:sz w:val="20"/>
          <w:szCs w:val="20"/>
          <w:highlight w:val="none"/>
          <w:lang w:val="en-US" w:eastAsia="zh-CN" w:bidi="ar-SA"/>
        </w:rPr>
        <w:t xml:space="preserve"> and these</w:t>
      </w:r>
      <w:r>
        <w:rPr>
          <w:rFonts w:hint="eastAsia" w:ascii="Times New Roman" w:hAnsi="Times New Roman" w:cs="Times New Roman"/>
          <w:b w:val="0"/>
          <w:bCs w:val="0"/>
          <w:color w:val="auto"/>
          <w:kern w:val="0"/>
          <w:sz w:val="20"/>
          <w:szCs w:val="20"/>
          <w:highlight w:val="none"/>
          <w:lang w:val="en-US" w:eastAsia="zh-CN" w:bidi="ar-SA"/>
        </w:rPr>
        <w:t xml:space="preserve"> RF requirements in RAN4 should be defined for any CCs frequency allocation within each band, although some of the allocations will bring large REFSEN and EIS requirements degradation, and also such requirements should be included in the spec.</w:t>
      </w:r>
      <w:r>
        <w:rPr>
          <w:rFonts w:hint="eastAsia" w:cs="Times New Roman"/>
          <w:b w:val="0"/>
          <w:bCs w:val="0"/>
          <w:color w:val="auto"/>
          <w:kern w:val="0"/>
          <w:sz w:val="20"/>
          <w:szCs w:val="20"/>
          <w:highlight w:val="none"/>
          <w:lang w:val="en-US" w:eastAsia="zh-CN" w:bidi="ar-SA"/>
        </w:rPr>
        <w:t xml:space="preserve"> For a UE </w:t>
      </w:r>
      <w:r>
        <w:rPr>
          <w:rFonts w:hint="eastAsia" w:eastAsia="宋体" w:cs="Times New Roman"/>
          <w:b w:val="0"/>
          <w:bCs w:val="0"/>
          <w:sz w:val="20"/>
          <w:szCs w:val="20"/>
          <w:highlight w:val="none"/>
          <w:lang w:val="en-US" w:eastAsia="zh-CN"/>
        </w:rPr>
        <w:t xml:space="preserve">report CBM capability for a band combination, but with further restriction with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then it seems the CBM related requirements can only be applied to the CC configurations within the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(i.e. CC2+CC3), but not apply for CC1+CC3. NW may misunderstand that UE reporting CBM capability but not compliance to the corresponding RF requirements for some CC configurations, or two series of RF requirements shall be applied for different CC configurations for a CBM UE. Therefore, we prefer not to introduce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as capability. Instead, RAN4 can introduce such parameters in the specification like </w:t>
      </w:r>
      <w:r>
        <w:rPr>
          <w:rFonts w:hint="default" w:eastAsia="宋体" w:cs="Times New Roman"/>
          <w:b w:val="0"/>
          <w:bCs w:val="0"/>
          <w:sz w:val="20"/>
          <w:szCs w:val="20"/>
          <w:highlight w:val="none"/>
          <w:lang w:val="en-US" w:eastAsia="zh-CN"/>
        </w:rPr>
        <w:t>‘</w:t>
      </w:r>
      <w:r>
        <w:rPr>
          <w:rFonts w:hint="eastAsia" w:eastAsia="宋体"/>
          <w:sz w:val="20"/>
          <w:highlight w:val="none"/>
          <w:lang w:val="en-US" w:eastAsia="zh-CN"/>
        </w:rPr>
        <w:t>Configured DL spectrum</w:t>
      </w:r>
      <w:r>
        <w:rPr>
          <w:rFonts w:hint="default" w:eastAsia="宋体" w:cs="Times New Roman"/>
          <w:b w:val="0"/>
          <w:bCs w:val="0"/>
          <w:sz w:val="20"/>
          <w:szCs w:val="20"/>
          <w:highlight w:val="none"/>
          <w:lang w:val="en-US" w:eastAsia="zh-CN"/>
        </w:rPr>
        <w:t>’</w:t>
      </w:r>
      <w:r>
        <w:rPr>
          <w:rFonts w:hint="eastAsia" w:eastAsia="宋体" w:cs="Times New Roman"/>
          <w:b w:val="0"/>
          <w:bCs w:val="0"/>
          <w:sz w:val="20"/>
          <w:szCs w:val="20"/>
          <w:highlight w:val="none"/>
          <w:lang w:val="en-US" w:eastAsia="zh-CN"/>
        </w:rPr>
        <w:t xml:space="preserve"> for intra-band non-contiguous CA to define the requirements for related requirements such as </w:t>
      </w:r>
      <w:r>
        <w:rPr>
          <w:rFonts w:hint="eastAsia" w:eastAsia="宋体"/>
          <w:sz w:val="20"/>
          <w:highlight w:val="none"/>
          <w:lang w:val="en-US" w:eastAsia="zh-CN"/>
        </w:rPr>
        <w:t>EIS Relaxation for different configuration.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MS Mincho"/>
          <w:b/>
          <w:bCs/>
          <w:sz w:val="20"/>
          <w:lang w:val="en-US" w:eastAsia="zh-CN"/>
        </w:rPr>
      </w:pPr>
      <w:r>
        <w:rPr>
          <w:rFonts w:hint="eastAsia"/>
          <w:b/>
          <w:bCs/>
          <w:sz w:val="20"/>
          <w:szCs w:val="20"/>
          <w:lang w:val="en-US" w:eastAsia="zh-CN"/>
        </w:rPr>
        <w:t>Proposal 3.</w:t>
      </w:r>
      <w:r>
        <w:rPr>
          <w:rFonts w:hint="eastAsia" w:eastAsia="MS Mincho" w:cs="Times New Roman"/>
          <w:b/>
          <w:bCs/>
          <w:sz w:val="20"/>
          <w:szCs w:val="20"/>
          <w:lang w:val="en-US" w:eastAsia="zh-CN"/>
        </w:rPr>
        <w:t xml:space="preserve"> Prefer not to introduce Fs_inter_CBM as capability. Instead, The related RF requirements should be defined for</w:t>
      </w:r>
      <w:r>
        <w:rPr>
          <w:rFonts w:hint="eastAsia" w:eastAsia="MS Mincho"/>
          <w:b/>
          <w:bCs/>
          <w:sz w:val="20"/>
          <w:lang w:val="en-US" w:eastAsia="zh-CN"/>
        </w:rPr>
        <w:t xml:space="preserve"> </w:t>
      </w:r>
      <w:r>
        <w:rPr>
          <w:rFonts w:hint="eastAsia"/>
          <w:b/>
          <w:bCs/>
          <w:sz w:val="20"/>
          <w:lang w:val="en-US" w:eastAsia="zh-CN"/>
        </w:rPr>
        <w:t xml:space="preserve">all </w:t>
      </w:r>
      <w:r>
        <w:rPr>
          <w:rFonts w:hint="eastAsia" w:eastAsia="MS Mincho"/>
          <w:b/>
          <w:bCs/>
          <w:sz w:val="20"/>
          <w:lang w:val="en-US" w:eastAsia="zh-CN"/>
        </w:rPr>
        <w:t xml:space="preserve">different </w:t>
      </w:r>
      <w:r>
        <w:rPr>
          <w:rFonts w:hint="eastAsia"/>
          <w:b/>
          <w:bCs/>
          <w:sz w:val="20"/>
          <w:lang w:val="en-US" w:eastAsia="zh-CN"/>
        </w:rPr>
        <w:t xml:space="preserve">frequency </w:t>
      </w:r>
      <w:r>
        <w:rPr>
          <w:rFonts w:hint="eastAsia" w:eastAsia="MS Mincho"/>
          <w:b/>
          <w:bCs/>
          <w:sz w:val="20"/>
          <w:lang w:val="en-US" w:eastAsia="zh-CN"/>
        </w:rPr>
        <w:t>configurations.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In this paper, </w:t>
      </w:r>
      <w:r>
        <w:rPr>
          <w:rFonts w:hint="eastAsia" w:eastAsia="宋体" w:cs="Times New Roman"/>
          <w:sz w:val="20"/>
          <w:szCs w:val="22"/>
          <w:highlight w:val="none"/>
          <w:lang w:val="en-US" w:eastAsia="zh-CN"/>
        </w:rPr>
        <w:t xml:space="preserve">we </w:t>
      </w:r>
      <w:r>
        <w:rPr>
          <w:rFonts w:hint="eastAsia" w:ascii="Times New Roman" w:hAnsi="Times New Roman" w:eastAsia="宋体" w:cs="Times New Roman"/>
          <w:i w:val="0"/>
          <w:iCs w:val="0"/>
          <w:sz w:val="20"/>
          <w:szCs w:val="22"/>
          <w:highlight w:val="none"/>
          <w:lang w:val="en-US" w:eastAsia="zh-CN"/>
        </w:rPr>
        <w:t>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w:t>
      </w:r>
      <w:r>
        <w:rPr>
          <w:rFonts w:hint="eastAsia" w:eastAsia="宋体" w:cs="Times New Roman"/>
          <w:i w:val="0"/>
          <w:iCs w:val="0"/>
          <w:sz w:val="20"/>
          <w:szCs w:val="22"/>
          <w:highlight w:val="none"/>
          <w:lang w:val="en-US" w:eastAsia="zh-CN"/>
        </w:rPr>
        <w:t>some issues for applicability of CBM/IBM for different CA.</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b/>
          <w:bCs/>
          <w:sz w:val="20"/>
          <w:szCs w:val="20"/>
          <w:lang w:val="en-US" w:eastAsia="zh-CN"/>
        </w:rPr>
      </w:pPr>
      <w:r>
        <w:rPr>
          <w:rFonts w:hint="eastAsia"/>
          <w:b/>
          <w:bCs/>
          <w:sz w:val="20"/>
          <w:szCs w:val="20"/>
          <w:lang w:val="en-US" w:eastAsia="zh-CN"/>
        </w:rPr>
        <w:t>Proposal 1. CBM and IBM should be explicitly indicated in the TP study and in the TS38.101-2 for FR2+FR2 band combination.</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b/>
          <w:bCs/>
          <w:sz w:val="20"/>
          <w:szCs w:val="20"/>
          <w:lang w:val="en-US" w:eastAsia="zh-CN"/>
        </w:rPr>
      </w:pPr>
      <w:r>
        <w:rPr>
          <w:rFonts w:hint="eastAsia"/>
          <w:b/>
          <w:bCs/>
          <w:sz w:val="20"/>
          <w:szCs w:val="20"/>
          <w:lang w:val="en-US" w:eastAsia="zh-CN"/>
        </w:rPr>
        <w:t>Proposal 2.</w:t>
      </w:r>
      <w:r>
        <w:rPr>
          <w:rFonts w:hint="eastAsia" w:eastAsia="宋体" w:cs="Times New Roman"/>
          <w:b/>
          <w:bCs/>
          <w:sz w:val="20"/>
          <w:szCs w:val="20"/>
          <w:lang w:val="en-US" w:eastAsia="zh-CN"/>
        </w:rPr>
        <w:t xml:space="preserve"> N</w:t>
      </w:r>
      <w:r>
        <w:rPr>
          <w:rFonts w:hint="default" w:ascii="Times New Roman" w:hAnsi="Times New Roman" w:eastAsia="宋体" w:cs="Times New Roman"/>
          <w:b/>
          <w:bCs/>
          <w:sz w:val="20"/>
          <w:szCs w:val="20"/>
          <w:lang w:val="en-US" w:eastAsia="zh-CN"/>
        </w:rPr>
        <w:t>o need to limit the maximum number of CCs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sz w:val="20"/>
          <w:szCs w:val="20"/>
          <w:highlight w:val="none"/>
          <w:lang w:val="en-US" w:eastAsia="zh-CN"/>
        </w:rPr>
      </w:pPr>
      <w:r>
        <w:rPr>
          <w:rFonts w:hint="eastAsia"/>
          <w:b/>
          <w:bCs/>
          <w:sz w:val="20"/>
          <w:szCs w:val="20"/>
          <w:lang w:val="en-US" w:eastAsia="zh-CN"/>
        </w:rPr>
        <w:t>Proposal 3.</w:t>
      </w:r>
      <w:r>
        <w:rPr>
          <w:rFonts w:hint="eastAsia" w:eastAsia="MS Mincho" w:cs="Times New Roman"/>
          <w:b/>
          <w:bCs/>
          <w:sz w:val="20"/>
          <w:szCs w:val="20"/>
          <w:lang w:val="en-US" w:eastAsia="zh-CN"/>
        </w:rPr>
        <w:t xml:space="preserve"> Prefer not to introduce Fs_inter_CBM as capability. Instead, The related RF requirements should be defined for</w:t>
      </w:r>
      <w:r>
        <w:rPr>
          <w:rFonts w:hint="eastAsia" w:eastAsia="MS Mincho"/>
          <w:b/>
          <w:bCs/>
          <w:sz w:val="20"/>
          <w:lang w:val="en-US" w:eastAsia="zh-CN"/>
        </w:rPr>
        <w:t xml:space="preserve"> </w:t>
      </w:r>
      <w:r>
        <w:rPr>
          <w:rFonts w:hint="eastAsia"/>
          <w:b/>
          <w:bCs/>
          <w:sz w:val="20"/>
          <w:lang w:val="en-US" w:eastAsia="zh-CN"/>
        </w:rPr>
        <w:t xml:space="preserve">all </w:t>
      </w:r>
      <w:r>
        <w:rPr>
          <w:rFonts w:hint="eastAsia" w:eastAsia="MS Mincho"/>
          <w:b/>
          <w:bCs/>
          <w:sz w:val="20"/>
          <w:lang w:val="en-US" w:eastAsia="zh-CN"/>
        </w:rPr>
        <w:t xml:space="preserve">different </w:t>
      </w:r>
      <w:r>
        <w:rPr>
          <w:rFonts w:hint="eastAsia"/>
          <w:b/>
          <w:bCs/>
          <w:sz w:val="20"/>
          <w:lang w:val="en-US" w:eastAsia="zh-CN"/>
        </w:rPr>
        <w:t xml:space="preserve">frequency </w:t>
      </w:r>
      <w:r>
        <w:rPr>
          <w:rFonts w:hint="eastAsia" w:eastAsia="MS Mincho"/>
          <w:b/>
          <w:bCs/>
          <w:sz w:val="20"/>
          <w:lang w:val="en-US" w:eastAsia="zh-CN"/>
        </w:rPr>
        <w:t>configurations.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2"/>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[1] R4-2103111, WF on FR2 UEs that support inter-band DL CA with IBM, Sony</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[2] R4-2103399, </w:t>
      </w:r>
      <w:r>
        <w:rPr>
          <w:rFonts w:hint="default" w:eastAsia="宋体" w:cs="Times New Roman"/>
          <w:b w:val="0"/>
          <w:bCs w:val="0"/>
          <w:sz w:val="20"/>
          <w:szCs w:val="20"/>
          <w:highlight w:val="none"/>
          <w:vertAlign w:val="baseline"/>
          <w:lang w:val="en-US" w:eastAsia="zh-CN"/>
        </w:rPr>
        <w:t>WF on FR2 UEs that support inter-band DL CA with CBM</w:t>
      </w:r>
      <w:r>
        <w:rPr>
          <w:rFonts w:hint="eastAsia" w:eastAsia="宋体" w:cs="Times New Roman"/>
          <w:b w:val="0"/>
          <w:bCs w:val="0"/>
          <w:sz w:val="20"/>
          <w:szCs w:val="20"/>
          <w:highlight w:val="none"/>
          <w:vertAlign w:val="baseline"/>
          <w:lang w:val="en-US" w:eastAsia="zh-CN"/>
        </w:rPr>
        <w:t>,Samsung</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02514"/>
    <w:rsid w:val="02093AA7"/>
    <w:rsid w:val="02096EC3"/>
    <w:rsid w:val="020E4504"/>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303AE"/>
    <w:rsid w:val="0296048B"/>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42AE"/>
    <w:rsid w:val="035A62F4"/>
    <w:rsid w:val="035C6E35"/>
    <w:rsid w:val="035D19F8"/>
    <w:rsid w:val="035D4AE1"/>
    <w:rsid w:val="035D7B53"/>
    <w:rsid w:val="03604F68"/>
    <w:rsid w:val="03683313"/>
    <w:rsid w:val="03683FB7"/>
    <w:rsid w:val="036A3E22"/>
    <w:rsid w:val="03705D7C"/>
    <w:rsid w:val="037273A0"/>
    <w:rsid w:val="0379761D"/>
    <w:rsid w:val="037F5509"/>
    <w:rsid w:val="03821E45"/>
    <w:rsid w:val="03822D46"/>
    <w:rsid w:val="03860133"/>
    <w:rsid w:val="038A6F91"/>
    <w:rsid w:val="03967366"/>
    <w:rsid w:val="03973A17"/>
    <w:rsid w:val="03984661"/>
    <w:rsid w:val="039B56AB"/>
    <w:rsid w:val="03A017C1"/>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6A35A2"/>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EB6DB7"/>
    <w:rsid w:val="04F83880"/>
    <w:rsid w:val="04FB32C2"/>
    <w:rsid w:val="04FC7574"/>
    <w:rsid w:val="0507209B"/>
    <w:rsid w:val="050B6335"/>
    <w:rsid w:val="050C281B"/>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6833D3"/>
    <w:rsid w:val="05722307"/>
    <w:rsid w:val="057D13E0"/>
    <w:rsid w:val="057D208E"/>
    <w:rsid w:val="057E2E99"/>
    <w:rsid w:val="058162F2"/>
    <w:rsid w:val="058745B2"/>
    <w:rsid w:val="058B1C46"/>
    <w:rsid w:val="058C5F4A"/>
    <w:rsid w:val="058D33C5"/>
    <w:rsid w:val="058D4498"/>
    <w:rsid w:val="058E4F3F"/>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B74FFD"/>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50CA3"/>
    <w:rsid w:val="07392E0B"/>
    <w:rsid w:val="073B0379"/>
    <w:rsid w:val="073F1FDF"/>
    <w:rsid w:val="07447DDE"/>
    <w:rsid w:val="07505939"/>
    <w:rsid w:val="0754271D"/>
    <w:rsid w:val="075460A8"/>
    <w:rsid w:val="07560AAB"/>
    <w:rsid w:val="07616BC3"/>
    <w:rsid w:val="076931E4"/>
    <w:rsid w:val="076D415D"/>
    <w:rsid w:val="07703155"/>
    <w:rsid w:val="07713D9D"/>
    <w:rsid w:val="077330B7"/>
    <w:rsid w:val="07743668"/>
    <w:rsid w:val="07756E39"/>
    <w:rsid w:val="07772C03"/>
    <w:rsid w:val="077738E6"/>
    <w:rsid w:val="077F0549"/>
    <w:rsid w:val="077F69B0"/>
    <w:rsid w:val="07815D85"/>
    <w:rsid w:val="0786674C"/>
    <w:rsid w:val="07880BDC"/>
    <w:rsid w:val="078D38BB"/>
    <w:rsid w:val="07954213"/>
    <w:rsid w:val="07984F47"/>
    <w:rsid w:val="079A211D"/>
    <w:rsid w:val="07AF6186"/>
    <w:rsid w:val="07B342C4"/>
    <w:rsid w:val="07BA518C"/>
    <w:rsid w:val="07D101F5"/>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A7780"/>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55E59"/>
    <w:rsid w:val="08760D65"/>
    <w:rsid w:val="08786CAE"/>
    <w:rsid w:val="087D07B1"/>
    <w:rsid w:val="088B2800"/>
    <w:rsid w:val="088D3DB3"/>
    <w:rsid w:val="089248A3"/>
    <w:rsid w:val="08A14169"/>
    <w:rsid w:val="08AB7ED7"/>
    <w:rsid w:val="08AF3AE8"/>
    <w:rsid w:val="08B32027"/>
    <w:rsid w:val="08BB173B"/>
    <w:rsid w:val="08CD72D1"/>
    <w:rsid w:val="08CE2A40"/>
    <w:rsid w:val="08D14D69"/>
    <w:rsid w:val="08D52400"/>
    <w:rsid w:val="08DC5892"/>
    <w:rsid w:val="08E16EEF"/>
    <w:rsid w:val="08ED1042"/>
    <w:rsid w:val="08EE5E63"/>
    <w:rsid w:val="08F80051"/>
    <w:rsid w:val="08FF75F2"/>
    <w:rsid w:val="09014876"/>
    <w:rsid w:val="0906231D"/>
    <w:rsid w:val="090F07A1"/>
    <w:rsid w:val="09105B11"/>
    <w:rsid w:val="09130B62"/>
    <w:rsid w:val="09135978"/>
    <w:rsid w:val="091744D0"/>
    <w:rsid w:val="091F6975"/>
    <w:rsid w:val="09204DFE"/>
    <w:rsid w:val="09212774"/>
    <w:rsid w:val="092760A2"/>
    <w:rsid w:val="092D6FEC"/>
    <w:rsid w:val="092F0069"/>
    <w:rsid w:val="092F4A13"/>
    <w:rsid w:val="09310D62"/>
    <w:rsid w:val="09322686"/>
    <w:rsid w:val="093F1597"/>
    <w:rsid w:val="09441620"/>
    <w:rsid w:val="09441EEA"/>
    <w:rsid w:val="09556E1F"/>
    <w:rsid w:val="09595A8E"/>
    <w:rsid w:val="095A3ACC"/>
    <w:rsid w:val="095C31CB"/>
    <w:rsid w:val="09635095"/>
    <w:rsid w:val="096B63AD"/>
    <w:rsid w:val="09723CCC"/>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E2C30"/>
    <w:rsid w:val="09F01BDC"/>
    <w:rsid w:val="09F04614"/>
    <w:rsid w:val="09F05FD9"/>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F15D9"/>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4C731A"/>
    <w:rsid w:val="0B524E40"/>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E4E46"/>
    <w:rsid w:val="0C131F97"/>
    <w:rsid w:val="0C152FD0"/>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AD54F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4D3CAB"/>
    <w:rsid w:val="0E546C25"/>
    <w:rsid w:val="0E5733FF"/>
    <w:rsid w:val="0E573BA8"/>
    <w:rsid w:val="0E601A39"/>
    <w:rsid w:val="0E636E0B"/>
    <w:rsid w:val="0E68251E"/>
    <w:rsid w:val="0E6A1083"/>
    <w:rsid w:val="0E73084B"/>
    <w:rsid w:val="0E7C2C51"/>
    <w:rsid w:val="0E803F21"/>
    <w:rsid w:val="0E845D64"/>
    <w:rsid w:val="0E8E2DF0"/>
    <w:rsid w:val="0E8E5DF5"/>
    <w:rsid w:val="0E8F0596"/>
    <w:rsid w:val="0E987200"/>
    <w:rsid w:val="0E9C25AC"/>
    <w:rsid w:val="0EA63762"/>
    <w:rsid w:val="0EA870CD"/>
    <w:rsid w:val="0EAC56A2"/>
    <w:rsid w:val="0EBA588B"/>
    <w:rsid w:val="0EBC786E"/>
    <w:rsid w:val="0EC23ABC"/>
    <w:rsid w:val="0EC26502"/>
    <w:rsid w:val="0EDA3008"/>
    <w:rsid w:val="0EE7750F"/>
    <w:rsid w:val="0EEC1D1E"/>
    <w:rsid w:val="0EEE6E1F"/>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F5105"/>
    <w:rsid w:val="0F4178CC"/>
    <w:rsid w:val="0F475E79"/>
    <w:rsid w:val="0F492AD4"/>
    <w:rsid w:val="0F4B7E1A"/>
    <w:rsid w:val="0F4C4091"/>
    <w:rsid w:val="0F4E0D22"/>
    <w:rsid w:val="0F526E9F"/>
    <w:rsid w:val="0F564A36"/>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2646A"/>
    <w:rsid w:val="0FC3109E"/>
    <w:rsid w:val="0FC64E19"/>
    <w:rsid w:val="0FD4584B"/>
    <w:rsid w:val="0FD46C98"/>
    <w:rsid w:val="0FD72CB8"/>
    <w:rsid w:val="0FD90E77"/>
    <w:rsid w:val="0FDB72B0"/>
    <w:rsid w:val="0FDC1B77"/>
    <w:rsid w:val="0FE5349E"/>
    <w:rsid w:val="0FE847C8"/>
    <w:rsid w:val="0FEB5939"/>
    <w:rsid w:val="0FF04B4F"/>
    <w:rsid w:val="0FF32CF0"/>
    <w:rsid w:val="0FF91941"/>
    <w:rsid w:val="1002358E"/>
    <w:rsid w:val="1005685C"/>
    <w:rsid w:val="1006135D"/>
    <w:rsid w:val="10061697"/>
    <w:rsid w:val="100A2D6F"/>
    <w:rsid w:val="100C51AD"/>
    <w:rsid w:val="100F6CFF"/>
    <w:rsid w:val="1010549F"/>
    <w:rsid w:val="10145E18"/>
    <w:rsid w:val="10175238"/>
    <w:rsid w:val="10182429"/>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7C0521"/>
    <w:rsid w:val="108E4283"/>
    <w:rsid w:val="10987768"/>
    <w:rsid w:val="109B6262"/>
    <w:rsid w:val="10B96A3B"/>
    <w:rsid w:val="10CE07DA"/>
    <w:rsid w:val="10D3772D"/>
    <w:rsid w:val="10D40819"/>
    <w:rsid w:val="10D74E7C"/>
    <w:rsid w:val="10EA0053"/>
    <w:rsid w:val="10EC6D1D"/>
    <w:rsid w:val="10F145DD"/>
    <w:rsid w:val="10F211FC"/>
    <w:rsid w:val="10F329E5"/>
    <w:rsid w:val="10F4334C"/>
    <w:rsid w:val="10F4625F"/>
    <w:rsid w:val="10FB45C9"/>
    <w:rsid w:val="10FE766E"/>
    <w:rsid w:val="10FF2287"/>
    <w:rsid w:val="10FF723F"/>
    <w:rsid w:val="11024888"/>
    <w:rsid w:val="11040940"/>
    <w:rsid w:val="11060DC8"/>
    <w:rsid w:val="110C4566"/>
    <w:rsid w:val="112103C5"/>
    <w:rsid w:val="1125568E"/>
    <w:rsid w:val="11345A36"/>
    <w:rsid w:val="113656EC"/>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30A8"/>
    <w:rsid w:val="122605E2"/>
    <w:rsid w:val="122A4C9F"/>
    <w:rsid w:val="12332CE2"/>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C20883"/>
    <w:rsid w:val="12CB538A"/>
    <w:rsid w:val="12CD1DC9"/>
    <w:rsid w:val="12D43973"/>
    <w:rsid w:val="12D62B58"/>
    <w:rsid w:val="12E27109"/>
    <w:rsid w:val="12E77AD7"/>
    <w:rsid w:val="12E94E33"/>
    <w:rsid w:val="12EA0359"/>
    <w:rsid w:val="12EA0BB7"/>
    <w:rsid w:val="12F9591A"/>
    <w:rsid w:val="130B1D8A"/>
    <w:rsid w:val="131358FB"/>
    <w:rsid w:val="13173505"/>
    <w:rsid w:val="131F3AD2"/>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21542"/>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965B3"/>
    <w:rsid w:val="149D4997"/>
    <w:rsid w:val="14A04F69"/>
    <w:rsid w:val="14A10588"/>
    <w:rsid w:val="14A11363"/>
    <w:rsid w:val="14A56052"/>
    <w:rsid w:val="14A862B6"/>
    <w:rsid w:val="14A87888"/>
    <w:rsid w:val="14AA6172"/>
    <w:rsid w:val="14AC283B"/>
    <w:rsid w:val="14B071EA"/>
    <w:rsid w:val="14BD5CC4"/>
    <w:rsid w:val="14BE6F36"/>
    <w:rsid w:val="14C42409"/>
    <w:rsid w:val="14C510C3"/>
    <w:rsid w:val="14CC3E85"/>
    <w:rsid w:val="14E1264D"/>
    <w:rsid w:val="14E93B9B"/>
    <w:rsid w:val="14EC0CCF"/>
    <w:rsid w:val="14F00C3C"/>
    <w:rsid w:val="14F46C56"/>
    <w:rsid w:val="150427DD"/>
    <w:rsid w:val="150A68E8"/>
    <w:rsid w:val="150C4874"/>
    <w:rsid w:val="150E7A37"/>
    <w:rsid w:val="150F153E"/>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72A63"/>
    <w:rsid w:val="156A43DD"/>
    <w:rsid w:val="156B3683"/>
    <w:rsid w:val="156D05EA"/>
    <w:rsid w:val="157B5E01"/>
    <w:rsid w:val="157C0E9E"/>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C44867"/>
    <w:rsid w:val="15C47F25"/>
    <w:rsid w:val="15D46B42"/>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C92A63"/>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C0BD8"/>
    <w:rsid w:val="178F1BAC"/>
    <w:rsid w:val="17911DB7"/>
    <w:rsid w:val="17923711"/>
    <w:rsid w:val="17925F35"/>
    <w:rsid w:val="17987229"/>
    <w:rsid w:val="179A0708"/>
    <w:rsid w:val="179E28E1"/>
    <w:rsid w:val="17A022DB"/>
    <w:rsid w:val="17A2064E"/>
    <w:rsid w:val="17A340AB"/>
    <w:rsid w:val="17A34285"/>
    <w:rsid w:val="17A500B9"/>
    <w:rsid w:val="17AB1ED7"/>
    <w:rsid w:val="17AF493D"/>
    <w:rsid w:val="17B00BE9"/>
    <w:rsid w:val="17C11150"/>
    <w:rsid w:val="17C277F1"/>
    <w:rsid w:val="17C366FE"/>
    <w:rsid w:val="17C57C00"/>
    <w:rsid w:val="17C7648E"/>
    <w:rsid w:val="17CA5CF1"/>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11175"/>
    <w:rsid w:val="18564BD0"/>
    <w:rsid w:val="185668C4"/>
    <w:rsid w:val="185B771D"/>
    <w:rsid w:val="185D0913"/>
    <w:rsid w:val="186A585C"/>
    <w:rsid w:val="186C0342"/>
    <w:rsid w:val="186C19F1"/>
    <w:rsid w:val="186E121C"/>
    <w:rsid w:val="18747BD4"/>
    <w:rsid w:val="187D0B92"/>
    <w:rsid w:val="187D7AAB"/>
    <w:rsid w:val="18893D17"/>
    <w:rsid w:val="188D7FF5"/>
    <w:rsid w:val="18966DD6"/>
    <w:rsid w:val="18983058"/>
    <w:rsid w:val="18984438"/>
    <w:rsid w:val="189858F5"/>
    <w:rsid w:val="18A0299D"/>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CEA"/>
    <w:rsid w:val="193730CD"/>
    <w:rsid w:val="193A711A"/>
    <w:rsid w:val="193B6A4A"/>
    <w:rsid w:val="193E651C"/>
    <w:rsid w:val="194174BB"/>
    <w:rsid w:val="19462558"/>
    <w:rsid w:val="194C5184"/>
    <w:rsid w:val="194F7EB1"/>
    <w:rsid w:val="19526D70"/>
    <w:rsid w:val="195311B7"/>
    <w:rsid w:val="19552D2E"/>
    <w:rsid w:val="195722C5"/>
    <w:rsid w:val="19581213"/>
    <w:rsid w:val="195A24C6"/>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C6409"/>
    <w:rsid w:val="19C25C1A"/>
    <w:rsid w:val="19C7224C"/>
    <w:rsid w:val="19C8660E"/>
    <w:rsid w:val="19CE2FC8"/>
    <w:rsid w:val="19CF372D"/>
    <w:rsid w:val="19D1031C"/>
    <w:rsid w:val="19D1466F"/>
    <w:rsid w:val="19E01C52"/>
    <w:rsid w:val="19E12E88"/>
    <w:rsid w:val="19E92B6A"/>
    <w:rsid w:val="19EB2C89"/>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7B7267"/>
    <w:rsid w:val="1B87058E"/>
    <w:rsid w:val="1B8B2C18"/>
    <w:rsid w:val="1B935851"/>
    <w:rsid w:val="1B9950DF"/>
    <w:rsid w:val="1B99570C"/>
    <w:rsid w:val="1BA13621"/>
    <w:rsid w:val="1BA21D9D"/>
    <w:rsid w:val="1BA35D23"/>
    <w:rsid w:val="1BAC16E5"/>
    <w:rsid w:val="1BB40F2B"/>
    <w:rsid w:val="1BB5784D"/>
    <w:rsid w:val="1BBA2D4F"/>
    <w:rsid w:val="1BBE3FFF"/>
    <w:rsid w:val="1BC153A7"/>
    <w:rsid w:val="1BC57256"/>
    <w:rsid w:val="1BCF2B9F"/>
    <w:rsid w:val="1BD40808"/>
    <w:rsid w:val="1BD657AE"/>
    <w:rsid w:val="1BD803EF"/>
    <w:rsid w:val="1BD977E2"/>
    <w:rsid w:val="1BDC1FDD"/>
    <w:rsid w:val="1BE00A01"/>
    <w:rsid w:val="1BED382A"/>
    <w:rsid w:val="1BED7882"/>
    <w:rsid w:val="1BEF6A59"/>
    <w:rsid w:val="1BF01922"/>
    <w:rsid w:val="1BF62D26"/>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82A5A"/>
    <w:rsid w:val="1E0C6C93"/>
    <w:rsid w:val="1E110C6E"/>
    <w:rsid w:val="1E1379F8"/>
    <w:rsid w:val="1E1461B7"/>
    <w:rsid w:val="1E190EEC"/>
    <w:rsid w:val="1E1E03D3"/>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91073"/>
    <w:rsid w:val="1F364BA6"/>
    <w:rsid w:val="1F384946"/>
    <w:rsid w:val="1F3C4B92"/>
    <w:rsid w:val="1F3D11C6"/>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040A1"/>
    <w:rsid w:val="1F977357"/>
    <w:rsid w:val="1F9A4420"/>
    <w:rsid w:val="1F9C2030"/>
    <w:rsid w:val="1F9D5BB8"/>
    <w:rsid w:val="1F9E5C18"/>
    <w:rsid w:val="1FA276B8"/>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C3F37"/>
    <w:rsid w:val="201D36E6"/>
    <w:rsid w:val="201F1A41"/>
    <w:rsid w:val="20246D32"/>
    <w:rsid w:val="20287CCA"/>
    <w:rsid w:val="202F7842"/>
    <w:rsid w:val="203121C8"/>
    <w:rsid w:val="20360A34"/>
    <w:rsid w:val="203B0890"/>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60B6A"/>
    <w:rsid w:val="208D1F92"/>
    <w:rsid w:val="209429B3"/>
    <w:rsid w:val="20950DEF"/>
    <w:rsid w:val="209A3615"/>
    <w:rsid w:val="20A0289C"/>
    <w:rsid w:val="20B44655"/>
    <w:rsid w:val="20B816A1"/>
    <w:rsid w:val="20B95BEF"/>
    <w:rsid w:val="20BB15AF"/>
    <w:rsid w:val="20BC29D9"/>
    <w:rsid w:val="20C11D2A"/>
    <w:rsid w:val="20C23541"/>
    <w:rsid w:val="20C26B56"/>
    <w:rsid w:val="20C776A9"/>
    <w:rsid w:val="20D45236"/>
    <w:rsid w:val="20D45CC6"/>
    <w:rsid w:val="20D47CF1"/>
    <w:rsid w:val="20D67A4F"/>
    <w:rsid w:val="20DF7183"/>
    <w:rsid w:val="20EB0A2A"/>
    <w:rsid w:val="20ED6469"/>
    <w:rsid w:val="20ED6BA4"/>
    <w:rsid w:val="20EE326C"/>
    <w:rsid w:val="20F23E6F"/>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6F0212"/>
    <w:rsid w:val="21700B44"/>
    <w:rsid w:val="217105A1"/>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D6365"/>
    <w:rsid w:val="21D01167"/>
    <w:rsid w:val="21D410CC"/>
    <w:rsid w:val="21D869C1"/>
    <w:rsid w:val="21DB2F82"/>
    <w:rsid w:val="21DE0E28"/>
    <w:rsid w:val="21E00B79"/>
    <w:rsid w:val="21E11676"/>
    <w:rsid w:val="21E2422B"/>
    <w:rsid w:val="21E75E06"/>
    <w:rsid w:val="21F172A8"/>
    <w:rsid w:val="21F27A8B"/>
    <w:rsid w:val="21F776C6"/>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9150BB"/>
    <w:rsid w:val="2295731A"/>
    <w:rsid w:val="229A472F"/>
    <w:rsid w:val="22A76E5F"/>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E2EF3"/>
    <w:rsid w:val="243766D1"/>
    <w:rsid w:val="24376E92"/>
    <w:rsid w:val="24382415"/>
    <w:rsid w:val="243E1494"/>
    <w:rsid w:val="24401ED3"/>
    <w:rsid w:val="24463F64"/>
    <w:rsid w:val="244C3178"/>
    <w:rsid w:val="245037AB"/>
    <w:rsid w:val="245039B9"/>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A7AC3"/>
    <w:rsid w:val="24E30119"/>
    <w:rsid w:val="24EB7C74"/>
    <w:rsid w:val="24EC2B32"/>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36AF6"/>
    <w:rsid w:val="259F1CDA"/>
    <w:rsid w:val="25A55AC8"/>
    <w:rsid w:val="25AC5370"/>
    <w:rsid w:val="25AC7500"/>
    <w:rsid w:val="25B12E79"/>
    <w:rsid w:val="25B64199"/>
    <w:rsid w:val="25B969B9"/>
    <w:rsid w:val="25BB199D"/>
    <w:rsid w:val="25BD1153"/>
    <w:rsid w:val="25BE13D3"/>
    <w:rsid w:val="25C14072"/>
    <w:rsid w:val="25C236FB"/>
    <w:rsid w:val="25C333EE"/>
    <w:rsid w:val="25C6127F"/>
    <w:rsid w:val="25CA4EA8"/>
    <w:rsid w:val="25CA6845"/>
    <w:rsid w:val="25DA00DC"/>
    <w:rsid w:val="25DE2B94"/>
    <w:rsid w:val="25E470D7"/>
    <w:rsid w:val="25E60649"/>
    <w:rsid w:val="25E656A8"/>
    <w:rsid w:val="25E91BB2"/>
    <w:rsid w:val="25EA2E42"/>
    <w:rsid w:val="25ED18E0"/>
    <w:rsid w:val="25F2691B"/>
    <w:rsid w:val="25F84250"/>
    <w:rsid w:val="260541D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C12AB"/>
    <w:rsid w:val="26BD1AF0"/>
    <w:rsid w:val="26BF7F09"/>
    <w:rsid w:val="26C119A3"/>
    <w:rsid w:val="26C84CEF"/>
    <w:rsid w:val="26C97C10"/>
    <w:rsid w:val="26CA2B3C"/>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945C4"/>
    <w:rsid w:val="271D32C7"/>
    <w:rsid w:val="2721490A"/>
    <w:rsid w:val="272658FE"/>
    <w:rsid w:val="272B0B6C"/>
    <w:rsid w:val="272E143C"/>
    <w:rsid w:val="272F2EB6"/>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6C4C7A"/>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B1C9B"/>
    <w:rsid w:val="27EE2436"/>
    <w:rsid w:val="27EE3EA1"/>
    <w:rsid w:val="27FC5EA0"/>
    <w:rsid w:val="27FE7297"/>
    <w:rsid w:val="280014D3"/>
    <w:rsid w:val="280665FC"/>
    <w:rsid w:val="28087D88"/>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D4EF3"/>
    <w:rsid w:val="286E5E65"/>
    <w:rsid w:val="28720727"/>
    <w:rsid w:val="28731DF8"/>
    <w:rsid w:val="287F0A90"/>
    <w:rsid w:val="288544BD"/>
    <w:rsid w:val="2886532E"/>
    <w:rsid w:val="288928C2"/>
    <w:rsid w:val="288F478B"/>
    <w:rsid w:val="289105F9"/>
    <w:rsid w:val="28962513"/>
    <w:rsid w:val="28966ED1"/>
    <w:rsid w:val="28996F69"/>
    <w:rsid w:val="289F7243"/>
    <w:rsid w:val="28A475CD"/>
    <w:rsid w:val="28A51B02"/>
    <w:rsid w:val="28B163F2"/>
    <w:rsid w:val="28B4017A"/>
    <w:rsid w:val="28B51E6D"/>
    <w:rsid w:val="28BD05DE"/>
    <w:rsid w:val="28BE5920"/>
    <w:rsid w:val="28C15B72"/>
    <w:rsid w:val="28C52BB3"/>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52A36"/>
    <w:rsid w:val="291B447E"/>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C1A5A"/>
    <w:rsid w:val="298C5D0B"/>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A67BF"/>
    <w:rsid w:val="29CD3454"/>
    <w:rsid w:val="29CD57D5"/>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F2C1A"/>
    <w:rsid w:val="2A504417"/>
    <w:rsid w:val="2A517BBA"/>
    <w:rsid w:val="2A647BBD"/>
    <w:rsid w:val="2A660B6D"/>
    <w:rsid w:val="2A665ACE"/>
    <w:rsid w:val="2A6D4792"/>
    <w:rsid w:val="2A702FE4"/>
    <w:rsid w:val="2A776776"/>
    <w:rsid w:val="2A796EEA"/>
    <w:rsid w:val="2A7D011F"/>
    <w:rsid w:val="2A80524E"/>
    <w:rsid w:val="2A881DB0"/>
    <w:rsid w:val="2A883AEC"/>
    <w:rsid w:val="2A8B632E"/>
    <w:rsid w:val="2A954D77"/>
    <w:rsid w:val="2A9A7929"/>
    <w:rsid w:val="2A9E19E6"/>
    <w:rsid w:val="2AAB728D"/>
    <w:rsid w:val="2AB4686A"/>
    <w:rsid w:val="2AB55B2E"/>
    <w:rsid w:val="2AC12114"/>
    <w:rsid w:val="2AC91296"/>
    <w:rsid w:val="2AD03C7C"/>
    <w:rsid w:val="2AD408B6"/>
    <w:rsid w:val="2ADB447F"/>
    <w:rsid w:val="2AE56C4E"/>
    <w:rsid w:val="2AEC7045"/>
    <w:rsid w:val="2AEE6BF5"/>
    <w:rsid w:val="2AEF1DBC"/>
    <w:rsid w:val="2AF81365"/>
    <w:rsid w:val="2AF940AB"/>
    <w:rsid w:val="2AFA29BD"/>
    <w:rsid w:val="2AFF2EB0"/>
    <w:rsid w:val="2AFF6246"/>
    <w:rsid w:val="2B061E16"/>
    <w:rsid w:val="2B0651DB"/>
    <w:rsid w:val="2B081CE2"/>
    <w:rsid w:val="2B0B7DF6"/>
    <w:rsid w:val="2B0E24FA"/>
    <w:rsid w:val="2B122123"/>
    <w:rsid w:val="2B130886"/>
    <w:rsid w:val="2B1E6496"/>
    <w:rsid w:val="2B2C40EA"/>
    <w:rsid w:val="2B31763F"/>
    <w:rsid w:val="2B3555B2"/>
    <w:rsid w:val="2B3607E1"/>
    <w:rsid w:val="2B384AD5"/>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530A"/>
    <w:rsid w:val="2BD07A7B"/>
    <w:rsid w:val="2BD157A2"/>
    <w:rsid w:val="2BD56B76"/>
    <w:rsid w:val="2BD56CE3"/>
    <w:rsid w:val="2BE03D81"/>
    <w:rsid w:val="2BE314B3"/>
    <w:rsid w:val="2BEC1B8B"/>
    <w:rsid w:val="2BEF1596"/>
    <w:rsid w:val="2BEF60D0"/>
    <w:rsid w:val="2BF43CAA"/>
    <w:rsid w:val="2BFE2BBC"/>
    <w:rsid w:val="2C043FFD"/>
    <w:rsid w:val="2C0913FC"/>
    <w:rsid w:val="2C0A6105"/>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7026F"/>
    <w:rsid w:val="2CAA115B"/>
    <w:rsid w:val="2CAA28C6"/>
    <w:rsid w:val="2CAA5EA4"/>
    <w:rsid w:val="2CB4069E"/>
    <w:rsid w:val="2CB83960"/>
    <w:rsid w:val="2CB9719D"/>
    <w:rsid w:val="2CBB1822"/>
    <w:rsid w:val="2CBD5FFF"/>
    <w:rsid w:val="2CBE00EC"/>
    <w:rsid w:val="2CC63844"/>
    <w:rsid w:val="2CC823DB"/>
    <w:rsid w:val="2CDD7FEB"/>
    <w:rsid w:val="2CE1756B"/>
    <w:rsid w:val="2CE202D4"/>
    <w:rsid w:val="2CE914BE"/>
    <w:rsid w:val="2CEA0BBE"/>
    <w:rsid w:val="2CF03153"/>
    <w:rsid w:val="2CFE082A"/>
    <w:rsid w:val="2D03574C"/>
    <w:rsid w:val="2D03772A"/>
    <w:rsid w:val="2D0772FD"/>
    <w:rsid w:val="2D0947D4"/>
    <w:rsid w:val="2D0C28DF"/>
    <w:rsid w:val="2D13536A"/>
    <w:rsid w:val="2D233963"/>
    <w:rsid w:val="2D257BFA"/>
    <w:rsid w:val="2D273A5B"/>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65988"/>
    <w:rsid w:val="2DD83ACE"/>
    <w:rsid w:val="2DE3126E"/>
    <w:rsid w:val="2DE96ECA"/>
    <w:rsid w:val="2DEC361D"/>
    <w:rsid w:val="2DF40350"/>
    <w:rsid w:val="2DFD25D1"/>
    <w:rsid w:val="2DFD42E1"/>
    <w:rsid w:val="2DFE3435"/>
    <w:rsid w:val="2E06618B"/>
    <w:rsid w:val="2E1931E7"/>
    <w:rsid w:val="2E1F4650"/>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B2B26"/>
    <w:rsid w:val="2EBF694E"/>
    <w:rsid w:val="2EC90753"/>
    <w:rsid w:val="2EC9758F"/>
    <w:rsid w:val="2ECC45DC"/>
    <w:rsid w:val="2ED20358"/>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172C5"/>
    <w:rsid w:val="2F234D05"/>
    <w:rsid w:val="2F27232D"/>
    <w:rsid w:val="2F29414F"/>
    <w:rsid w:val="2F2A789C"/>
    <w:rsid w:val="2F3249B1"/>
    <w:rsid w:val="2F3A42F6"/>
    <w:rsid w:val="2F464A98"/>
    <w:rsid w:val="2F48614F"/>
    <w:rsid w:val="2F487FE6"/>
    <w:rsid w:val="2F5173DD"/>
    <w:rsid w:val="2F530D2A"/>
    <w:rsid w:val="2F5B7BF2"/>
    <w:rsid w:val="2F5C0A04"/>
    <w:rsid w:val="2F5F4845"/>
    <w:rsid w:val="2F600B70"/>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C76A8F"/>
    <w:rsid w:val="2FCA3E23"/>
    <w:rsid w:val="2FD10451"/>
    <w:rsid w:val="2FD163D8"/>
    <w:rsid w:val="2FD860F5"/>
    <w:rsid w:val="2FDF2921"/>
    <w:rsid w:val="2FE46613"/>
    <w:rsid w:val="2FE642B3"/>
    <w:rsid w:val="2FEB2174"/>
    <w:rsid w:val="2FF80CA9"/>
    <w:rsid w:val="300663FF"/>
    <w:rsid w:val="30086A93"/>
    <w:rsid w:val="300D55ED"/>
    <w:rsid w:val="300D7B1B"/>
    <w:rsid w:val="300F21EC"/>
    <w:rsid w:val="300F767A"/>
    <w:rsid w:val="30176BA2"/>
    <w:rsid w:val="301B4680"/>
    <w:rsid w:val="302719FF"/>
    <w:rsid w:val="302722EF"/>
    <w:rsid w:val="30293768"/>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1F2B"/>
    <w:rsid w:val="30C76CBF"/>
    <w:rsid w:val="30CC5E99"/>
    <w:rsid w:val="30D10D4D"/>
    <w:rsid w:val="30D93137"/>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3D2EE7"/>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7624B"/>
    <w:rsid w:val="32177C99"/>
    <w:rsid w:val="321C0937"/>
    <w:rsid w:val="322F0F01"/>
    <w:rsid w:val="3230496F"/>
    <w:rsid w:val="32307F8D"/>
    <w:rsid w:val="323960B9"/>
    <w:rsid w:val="323C68FB"/>
    <w:rsid w:val="32601098"/>
    <w:rsid w:val="326615B4"/>
    <w:rsid w:val="326B67BA"/>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24568"/>
    <w:rsid w:val="32F92807"/>
    <w:rsid w:val="330438C3"/>
    <w:rsid w:val="330745A8"/>
    <w:rsid w:val="330825B3"/>
    <w:rsid w:val="33082B6D"/>
    <w:rsid w:val="33092F71"/>
    <w:rsid w:val="330D2A2F"/>
    <w:rsid w:val="330E2CB4"/>
    <w:rsid w:val="33117561"/>
    <w:rsid w:val="33141DC6"/>
    <w:rsid w:val="33172822"/>
    <w:rsid w:val="331A3BCD"/>
    <w:rsid w:val="33215EA1"/>
    <w:rsid w:val="33227045"/>
    <w:rsid w:val="33262E12"/>
    <w:rsid w:val="33271667"/>
    <w:rsid w:val="33272AFD"/>
    <w:rsid w:val="33277E34"/>
    <w:rsid w:val="332D3BF3"/>
    <w:rsid w:val="33335D2B"/>
    <w:rsid w:val="33346A33"/>
    <w:rsid w:val="33355A2E"/>
    <w:rsid w:val="33355B61"/>
    <w:rsid w:val="33373461"/>
    <w:rsid w:val="33390D3A"/>
    <w:rsid w:val="333C6AC3"/>
    <w:rsid w:val="33437504"/>
    <w:rsid w:val="33481298"/>
    <w:rsid w:val="334C0DD9"/>
    <w:rsid w:val="334D4192"/>
    <w:rsid w:val="33530BF2"/>
    <w:rsid w:val="33536DFC"/>
    <w:rsid w:val="33553979"/>
    <w:rsid w:val="3357390E"/>
    <w:rsid w:val="33584F7A"/>
    <w:rsid w:val="335E0128"/>
    <w:rsid w:val="335F4450"/>
    <w:rsid w:val="335F67C2"/>
    <w:rsid w:val="33663464"/>
    <w:rsid w:val="33682E0E"/>
    <w:rsid w:val="336832BC"/>
    <w:rsid w:val="336C0524"/>
    <w:rsid w:val="336D18AB"/>
    <w:rsid w:val="336E7AF9"/>
    <w:rsid w:val="3373209D"/>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45DA4"/>
    <w:rsid w:val="33C979F1"/>
    <w:rsid w:val="33CA72F2"/>
    <w:rsid w:val="33CE34C9"/>
    <w:rsid w:val="33CF32BC"/>
    <w:rsid w:val="33D51CFB"/>
    <w:rsid w:val="33D63892"/>
    <w:rsid w:val="33DA3C12"/>
    <w:rsid w:val="33DC6CEA"/>
    <w:rsid w:val="33DE78CE"/>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D6B7F"/>
    <w:rsid w:val="347F6999"/>
    <w:rsid w:val="3492319E"/>
    <w:rsid w:val="34931F95"/>
    <w:rsid w:val="34A334D1"/>
    <w:rsid w:val="34B052FD"/>
    <w:rsid w:val="34B1369F"/>
    <w:rsid w:val="34BA11D5"/>
    <w:rsid w:val="34BB104E"/>
    <w:rsid w:val="34BF6630"/>
    <w:rsid w:val="34CA0CA8"/>
    <w:rsid w:val="34CB1AC9"/>
    <w:rsid w:val="34D30834"/>
    <w:rsid w:val="34D44214"/>
    <w:rsid w:val="34D62270"/>
    <w:rsid w:val="34D96A25"/>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6514D"/>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A4E21"/>
    <w:rsid w:val="359C1D12"/>
    <w:rsid w:val="359E0193"/>
    <w:rsid w:val="35A13235"/>
    <w:rsid w:val="35A27A3D"/>
    <w:rsid w:val="35A833BD"/>
    <w:rsid w:val="35B14C48"/>
    <w:rsid w:val="35B66467"/>
    <w:rsid w:val="35B74EE0"/>
    <w:rsid w:val="35B9424B"/>
    <w:rsid w:val="35BB4FCF"/>
    <w:rsid w:val="35BE52A4"/>
    <w:rsid w:val="35CD3301"/>
    <w:rsid w:val="35D05B8C"/>
    <w:rsid w:val="35D229D8"/>
    <w:rsid w:val="35D22AB1"/>
    <w:rsid w:val="35D61974"/>
    <w:rsid w:val="35D91BC5"/>
    <w:rsid w:val="35DC07B2"/>
    <w:rsid w:val="35E569D0"/>
    <w:rsid w:val="35EF3862"/>
    <w:rsid w:val="35F64CDE"/>
    <w:rsid w:val="35F777CB"/>
    <w:rsid w:val="36041D87"/>
    <w:rsid w:val="36057172"/>
    <w:rsid w:val="36062003"/>
    <w:rsid w:val="36075703"/>
    <w:rsid w:val="361D4745"/>
    <w:rsid w:val="361E4A68"/>
    <w:rsid w:val="361E4BCF"/>
    <w:rsid w:val="361F359F"/>
    <w:rsid w:val="362029EC"/>
    <w:rsid w:val="36240668"/>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56AEF"/>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7A28"/>
    <w:rsid w:val="39402C51"/>
    <w:rsid w:val="3942196B"/>
    <w:rsid w:val="39440716"/>
    <w:rsid w:val="394E1A7D"/>
    <w:rsid w:val="39537F49"/>
    <w:rsid w:val="39591892"/>
    <w:rsid w:val="395E51E9"/>
    <w:rsid w:val="3961327F"/>
    <w:rsid w:val="39616D48"/>
    <w:rsid w:val="3961740D"/>
    <w:rsid w:val="39630ED6"/>
    <w:rsid w:val="39661518"/>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D6DEA"/>
    <w:rsid w:val="39DE4386"/>
    <w:rsid w:val="39DF37D5"/>
    <w:rsid w:val="39E61B89"/>
    <w:rsid w:val="39ED27A3"/>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7AA6"/>
    <w:rsid w:val="3AC43768"/>
    <w:rsid w:val="3AC7482E"/>
    <w:rsid w:val="3AD83A9E"/>
    <w:rsid w:val="3ADD4A23"/>
    <w:rsid w:val="3ADF6377"/>
    <w:rsid w:val="3AE1451D"/>
    <w:rsid w:val="3AE52C73"/>
    <w:rsid w:val="3AE56019"/>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3F2FC7"/>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80674"/>
    <w:rsid w:val="3BDB52B7"/>
    <w:rsid w:val="3BDB71A9"/>
    <w:rsid w:val="3BE13EB8"/>
    <w:rsid w:val="3BE511CB"/>
    <w:rsid w:val="3BEE6FB8"/>
    <w:rsid w:val="3BF131AA"/>
    <w:rsid w:val="3BF21710"/>
    <w:rsid w:val="3BF41800"/>
    <w:rsid w:val="3BF4498C"/>
    <w:rsid w:val="3BFA6FF0"/>
    <w:rsid w:val="3BFD22A9"/>
    <w:rsid w:val="3C004384"/>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666ED"/>
    <w:rsid w:val="3C6B6A77"/>
    <w:rsid w:val="3C6D1FB1"/>
    <w:rsid w:val="3C6D5054"/>
    <w:rsid w:val="3C705F26"/>
    <w:rsid w:val="3C7D236C"/>
    <w:rsid w:val="3C914E1A"/>
    <w:rsid w:val="3C961419"/>
    <w:rsid w:val="3CA12CEA"/>
    <w:rsid w:val="3CA1514C"/>
    <w:rsid w:val="3CA40A32"/>
    <w:rsid w:val="3CAE61AF"/>
    <w:rsid w:val="3CC13333"/>
    <w:rsid w:val="3CCB357A"/>
    <w:rsid w:val="3CD1503D"/>
    <w:rsid w:val="3CD259B2"/>
    <w:rsid w:val="3CDF6131"/>
    <w:rsid w:val="3CE93697"/>
    <w:rsid w:val="3CED1A87"/>
    <w:rsid w:val="3CF06EF8"/>
    <w:rsid w:val="3CF1328C"/>
    <w:rsid w:val="3CF550A4"/>
    <w:rsid w:val="3CF61DAF"/>
    <w:rsid w:val="3CF71B17"/>
    <w:rsid w:val="3D0016F4"/>
    <w:rsid w:val="3D0037E1"/>
    <w:rsid w:val="3D007FB3"/>
    <w:rsid w:val="3D0609DC"/>
    <w:rsid w:val="3D0C216F"/>
    <w:rsid w:val="3D125A97"/>
    <w:rsid w:val="3D157E61"/>
    <w:rsid w:val="3D1B7627"/>
    <w:rsid w:val="3D2A3034"/>
    <w:rsid w:val="3D2E364F"/>
    <w:rsid w:val="3D330529"/>
    <w:rsid w:val="3D350B20"/>
    <w:rsid w:val="3D4077DF"/>
    <w:rsid w:val="3D416EA9"/>
    <w:rsid w:val="3D465130"/>
    <w:rsid w:val="3D4A120B"/>
    <w:rsid w:val="3D4E3E7A"/>
    <w:rsid w:val="3D4E400A"/>
    <w:rsid w:val="3D5D4227"/>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B714F"/>
    <w:rsid w:val="3DFC0F49"/>
    <w:rsid w:val="3E0179CF"/>
    <w:rsid w:val="3E05565D"/>
    <w:rsid w:val="3E09196F"/>
    <w:rsid w:val="3E0D4838"/>
    <w:rsid w:val="3E0E3CD1"/>
    <w:rsid w:val="3E104B56"/>
    <w:rsid w:val="3E11500B"/>
    <w:rsid w:val="3E121C70"/>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A0D8D"/>
    <w:rsid w:val="3E6D3C29"/>
    <w:rsid w:val="3E706685"/>
    <w:rsid w:val="3E7562ED"/>
    <w:rsid w:val="3E761C95"/>
    <w:rsid w:val="3E780CD4"/>
    <w:rsid w:val="3E791298"/>
    <w:rsid w:val="3E7B597C"/>
    <w:rsid w:val="3E7D3EE4"/>
    <w:rsid w:val="3E7E4868"/>
    <w:rsid w:val="3E875ABB"/>
    <w:rsid w:val="3E89369F"/>
    <w:rsid w:val="3E901BC7"/>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61C33"/>
    <w:rsid w:val="3ECB1E79"/>
    <w:rsid w:val="3ED06C49"/>
    <w:rsid w:val="3ED12E9B"/>
    <w:rsid w:val="3ED51A81"/>
    <w:rsid w:val="3ED521FB"/>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77D9"/>
    <w:rsid w:val="40635377"/>
    <w:rsid w:val="406A3621"/>
    <w:rsid w:val="407066C3"/>
    <w:rsid w:val="40775EFD"/>
    <w:rsid w:val="407A080F"/>
    <w:rsid w:val="407B3D06"/>
    <w:rsid w:val="407D0013"/>
    <w:rsid w:val="40844021"/>
    <w:rsid w:val="408604AB"/>
    <w:rsid w:val="40891323"/>
    <w:rsid w:val="408F6C4D"/>
    <w:rsid w:val="40924A6B"/>
    <w:rsid w:val="4097144A"/>
    <w:rsid w:val="40A27041"/>
    <w:rsid w:val="40A84378"/>
    <w:rsid w:val="40AB4BB4"/>
    <w:rsid w:val="40B24A84"/>
    <w:rsid w:val="40BA7AB2"/>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5021A3"/>
    <w:rsid w:val="4251230D"/>
    <w:rsid w:val="42526049"/>
    <w:rsid w:val="42556E2A"/>
    <w:rsid w:val="425C3316"/>
    <w:rsid w:val="42624E2E"/>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17373"/>
    <w:rsid w:val="42E502F5"/>
    <w:rsid w:val="42E571BE"/>
    <w:rsid w:val="42E87402"/>
    <w:rsid w:val="42EB6D52"/>
    <w:rsid w:val="42ED5FEB"/>
    <w:rsid w:val="42F237CD"/>
    <w:rsid w:val="43021632"/>
    <w:rsid w:val="43072A65"/>
    <w:rsid w:val="43092E10"/>
    <w:rsid w:val="430A27B3"/>
    <w:rsid w:val="430B5D6E"/>
    <w:rsid w:val="431049B1"/>
    <w:rsid w:val="43127C50"/>
    <w:rsid w:val="4315157D"/>
    <w:rsid w:val="431B3898"/>
    <w:rsid w:val="4322345A"/>
    <w:rsid w:val="43231966"/>
    <w:rsid w:val="43232B12"/>
    <w:rsid w:val="43273F04"/>
    <w:rsid w:val="432A7A55"/>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41FE9"/>
    <w:rsid w:val="437C7469"/>
    <w:rsid w:val="437D16BC"/>
    <w:rsid w:val="437F682E"/>
    <w:rsid w:val="43870627"/>
    <w:rsid w:val="438D7B84"/>
    <w:rsid w:val="438F0B98"/>
    <w:rsid w:val="439033AD"/>
    <w:rsid w:val="43956960"/>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E7171"/>
    <w:rsid w:val="445F38CD"/>
    <w:rsid w:val="44607765"/>
    <w:rsid w:val="446768BB"/>
    <w:rsid w:val="4469781B"/>
    <w:rsid w:val="446B012C"/>
    <w:rsid w:val="44724C49"/>
    <w:rsid w:val="44826636"/>
    <w:rsid w:val="44881162"/>
    <w:rsid w:val="44943627"/>
    <w:rsid w:val="44960FDB"/>
    <w:rsid w:val="449C56DD"/>
    <w:rsid w:val="449D3C5A"/>
    <w:rsid w:val="44A54B04"/>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13678"/>
    <w:rsid w:val="45E3280A"/>
    <w:rsid w:val="45F10A3B"/>
    <w:rsid w:val="45F46BD5"/>
    <w:rsid w:val="45F9658B"/>
    <w:rsid w:val="460901E2"/>
    <w:rsid w:val="460E70F2"/>
    <w:rsid w:val="462F0105"/>
    <w:rsid w:val="46300ECC"/>
    <w:rsid w:val="46333D16"/>
    <w:rsid w:val="46340BB8"/>
    <w:rsid w:val="463A512E"/>
    <w:rsid w:val="46472534"/>
    <w:rsid w:val="464B1BCE"/>
    <w:rsid w:val="465A3C55"/>
    <w:rsid w:val="465E45BA"/>
    <w:rsid w:val="465E4A48"/>
    <w:rsid w:val="46601C9C"/>
    <w:rsid w:val="466615E3"/>
    <w:rsid w:val="466C5FCE"/>
    <w:rsid w:val="466D0B7B"/>
    <w:rsid w:val="4676536F"/>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60EB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33DA9"/>
    <w:rsid w:val="47B52006"/>
    <w:rsid w:val="47B633CA"/>
    <w:rsid w:val="47BC3738"/>
    <w:rsid w:val="47BD5C18"/>
    <w:rsid w:val="47C71CAB"/>
    <w:rsid w:val="47C72802"/>
    <w:rsid w:val="47CD2BC5"/>
    <w:rsid w:val="47CF2DA8"/>
    <w:rsid w:val="47D12562"/>
    <w:rsid w:val="47D21489"/>
    <w:rsid w:val="47D314B9"/>
    <w:rsid w:val="47D50860"/>
    <w:rsid w:val="47DB6B4A"/>
    <w:rsid w:val="47E7345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A5FEC"/>
    <w:rsid w:val="486C5614"/>
    <w:rsid w:val="486C6A8A"/>
    <w:rsid w:val="486E771F"/>
    <w:rsid w:val="48711F85"/>
    <w:rsid w:val="487D49EA"/>
    <w:rsid w:val="488657A1"/>
    <w:rsid w:val="48874B9F"/>
    <w:rsid w:val="488B279E"/>
    <w:rsid w:val="489350D1"/>
    <w:rsid w:val="489B4AFF"/>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65038"/>
    <w:rsid w:val="490941C4"/>
    <w:rsid w:val="49135BFA"/>
    <w:rsid w:val="49170910"/>
    <w:rsid w:val="49187B74"/>
    <w:rsid w:val="491C4520"/>
    <w:rsid w:val="491E69D7"/>
    <w:rsid w:val="49221EB4"/>
    <w:rsid w:val="4924131D"/>
    <w:rsid w:val="49245BEB"/>
    <w:rsid w:val="49247EC8"/>
    <w:rsid w:val="49250C1A"/>
    <w:rsid w:val="4926347D"/>
    <w:rsid w:val="4928527F"/>
    <w:rsid w:val="492F0E3C"/>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6BE2"/>
    <w:rsid w:val="49737639"/>
    <w:rsid w:val="497A4AAC"/>
    <w:rsid w:val="497A7AEA"/>
    <w:rsid w:val="497D0172"/>
    <w:rsid w:val="49802354"/>
    <w:rsid w:val="498B1AC9"/>
    <w:rsid w:val="498B628E"/>
    <w:rsid w:val="49963E14"/>
    <w:rsid w:val="49967804"/>
    <w:rsid w:val="499721AD"/>
    <w:rsid w:val="499762DC"/>
    <w:rsid w:val="49980409"/>
    <w:rsid w:val="499C0F2B"/>
    <w:rsid w:val="49A47274"/>
    <w:rsid w:val="49A64BBF"/>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C29E0"/>
    <w:rsid w:val="4A0D60CC"/>
    <w:rsid w:val="4A0E2231"/>
    <w:rsid w:val="4A151985"/>
    <w:rsid w:val="4A183223"/>
    <w:rsid w:val="4A192C32"/>
    <w:rsid w:val="4A1C0D1E"/>
    <w:rsid w:val="4A1D2BB3"/>
    <w:rsid w:val="4A201730"/>
    <w:rsid w:val="4A226DCB"/>
    <w:rsid w:val="4A2361B1"/>
    <w:rsid w:val="4A246681"/>
    <w:rsid w:val="4A2B335B"/>
    <w:rsid w:val="4A2E3165"/>
    <w:rsid w:val="4A33337A"/>
    <w:rsid w:val="4A375652"/>
    <w:rsid w:val="4A434210"/>
    <w:rsid w:val="4A492F58"/>
    <w:rsid w:val="4A504178"/>
    <w:rsid w:val="4A5F3240"/>
    <w:rsid w:val="4A604594"/>
    <w:rsid w:val="4A614402"/>
    <w:rsid w:val="4A626F0F"/>
    <w:rsid w:val="4A6615BE"/>
    <w:rsid w:val="4A67393B"/>
    <w:rsid w:val="4A6827A8"/>
    <w:rsid w:val="4A684EA7"/>
    <w:rsid w:val="4A6A0509"/>
    <w:rsid w:val="4A6B40B3"/>
    <w:rsid w:val="4A743AFF"/>
    <w:rsid w:val="4A747317"/>
    <w:rsid w:val="4A7A3E5B"/>
    <w:rsid w:val="4A802ED6"/>
    <w:rsid w:val="4A807769"/>
    <w:rsid w:val="4A8369D0"/>
    <w:rsid w:val="4A865085"/>
    <w:rsid w:val="4A8824D3"/>
    <w:rsid w:val="4A9222F5"/>
    <w:rsid w:val="4A923056"/>
    <w:rsid w:val="4AA14A86"/>
    <w:rsid w:val="4AA23361"/>
    <w:rsid w:val="4AA43A1F"/>
    <w:rsid w:val="4AAC3954"/>
    <w:rsid w:val="4AB2360B"/>
    <w:rsid w:val="4AB33224"/>
    <w:rsid w:val="4AB61230"/>
    <w:rsid w:val="4AB71223"/>
    <w:rsid w:val="4ABB09B7"/>
    <w:rsid w:val="4ACF133B"/>
    <w:rsid w:val="4AD13278"/>
    <w:rsid w:val="4AD67579"/>
    <w:rsid w:val="4AD76B5B"/>
    <w:rsid w:val="4AE04436"/>
    <w:rsid w:val="4AE54455"/>
    <w:rsid w:val="4AE54DBF"/>
    <w:rsid w:val="4AE611E2"/>
    <w:rsid w:val="4AEA6393"/>
    <w:rsid w:val="4AEF0DD0"/>
    <w:rsid w:val="4AF17E98"/>
    <w:rsid w:val="4AF50A41"/>
    <w:rsid w:val="4AFB18B0"/>
    <w:rsid w:val="4AFE4D25"/>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53AD"/>
    <w:rsid w:val="4C892CF0"/>
    <w:rsid w:val="4C8E2FBA"/>
    <w:rsid w:val="4C95773A"/>
    <w:rsid w:val="4C990BCD"/>
    <w:rsid w:val="4C9A4A99"/>
    <w:rsid w:val="4C9E19A3"/>
    <w:rsid w:val="4CA2019D"/>
    <w:rsid w:val="4CA37041"/>
    <w:rsid w:val="4CA539CE"/>
    <w:rsid w:val="4CA616E3"/>
    <w:rsid w:val="4CA95A97"/>
    <w:rsid w:val="4CAC5935"/>
    <w:rsid w:val="4CAE0A1E"/>
    <w:rsid w:val="4CAE34C1"/>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D007DC3"/>
    <w:rsid w:val="4D055DDF"/>
    <w:rsid w:val="4D0570ED"/>
    <w:rsid w:val="4D0946D7"/>
    <w:rsid w:val="4D0A369B"/>
    <w:rsid w:val="4D0F1993"/>
    <w:rsid w:val="4D104ECD"/>
    <w:rsid w:val="4D1268C2"/>
    <w:rsid w:val="4D1B7EE6"/>
    <w:rsid w:val="4D1D3D38"/>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0C3881"/>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10D95"/>
    <w:rsid w:val="4E807A2E"/>
    <w:rsid w:val="4E881394"/>
    <w:rsid w:val="4E893F39"/>
    <w:rsid w:val="4E8B797D"/>
    <w:rsid w:val="4E8D6DC1"/>
    <w:rsid w:val="4E8D7BB3"/>
    <w:rsid w:val="4E991BA4"/>
    <w:rsid w:val="4E995228"/>
    <w:rsid w:val="4E9A794B"/>
    <w:rsid w:val="4E9D6A10"/>
    <w:rsid w:val="4EA62A18"/>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3616"/>
    <w:rsid w:val="4F0C6077"/>
    <w:rsid w:val="4F14132F"/>
    <w:rsid w:val="4F163FBA"/>
    <w:rsid w:val="4F195EE2"/>
    <w:rsid w:val="4F1B2E4E"/>
    <w:rsid w:val="4F21261D"/>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AB18EF"/>
    <w:rsid w:val="4FB273C0"/>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25563F"/>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89299B"/>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A0DE1"/>
    <w:rsid w:val="50DE003A"/>
    <w:rsid w:val="50E850A8"/>
    <w:rsid w:val="50EE1F92"/>
    <w:rsid w:val="51085839"/>
    <w:rsid w:val="51085F1B"/>
    <w:rsid w:val="510A4ABF"/>
    <w:rsid w:val="511749CA"/>
    <w:rsid w:val="51176F32"/>
    <w:rsid w:val="511B57BF"/>
    <w:rsid w:val="511C47EB"/>
    <w:rsid w:val="51236E17"/>
    <w:rsid w:val="513762B1"/>
    <w:rsid w:val="51387909"/>
    <w:rsid w:val="513D447B"/>
    <w:rsid w:val="513D4AA1"/>
    <w:rsid w:val="513E5DE2"/>
    <w:rsid w:val="513F74AF"/>
    <w:rsid w:val="51413DE5"/>
    <w:rsid w:val="5146189A"/>
    <w:rsid w:val="51522F10"/>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96BB5"/>
    <w:rsid w:val="51EF47CF"/>
    <w:rsid w:val="51FF7286"/>
    <w:rsid w:val="5207265A"/>
    <w:rsid w:val="521153DD"/>
    <w:rsid w:val="521418B2"/>
    <w:rsid w:val="52192E54"/>
    <w:rsid w:val="521A6B40"/>
    <w:rsid w:val="521C7DEC"/>
    <w:rsid w:val="52345124"/>
    <w:rsid w:val="523A44B9"/>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934ED9"/>
    <w:rsid w:val="52962AB6"/>
    <w:rsid w:val="529820D1"/>
    <w:rsid w:val="529A4C30"/>
    <w:rsid w:val="529D3AD0"/>
    <w:rsid w:val="52A10DCE"/>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CA6EA8"/>
    <w:rsid w:val="53D477B3"/>
    <w:rsid w:val="53D47B32"/>
    <w:rsid w:val="53D80CEA"/>
    <w:rsid w:val="53D86784"/>
    <w:rsid w:val="53E1263C"/>
    <w:rsid w:val="53EC5739"/>
    <w:rsid w:val="53EF53F8"/>
    <w:rsid w:val="53F060D3"/>
    <w:rsid w:val="53F54B80"/>
    <w:rsid w:val="53FC12EF"/>
    <w:rsid w:val="540026BD"/>
    <w:rsid w:val="54037A0D"/>
    <w:rsid w:val="540B324D"/>
    <w:rsid w:val="540B7A19"/>
    <w:rsid w:val="540D4DD6"/>
    <w:rsid w:val="540D6DFE"/>
    <w:rsid w:val="541372BB"/>
    <w:rsid w:val="54145659"/>
    <w:rsid w:val="541F56D1"/>
    <w:rsid w:val="54206D10"/>
    <w:rsid w:val="542748E5"/>
    <w:rsid w:val="54281C69"/>
    <w:rsid w:val="542B78EE"/>
    <w:rsid w:val="542D6443"/>
    <w:rsid w:val="54312135"/>
    <w:rsid w:val="5438255E"/>
    <w:rsid w:val="543A7B51"/>
    <w:rsid w:val="54431413"/>
    <w:rsid w:val="54467196"/>
    <w:rsid w:val="544D270A"/>
    <w:rsid w:val="544E5195"/>
    <w:rsid w:val="544E7341"/>
    <w:rsid w:val="54537A4E"/>
    <w:rsid w:val="54557C1C"/>
    <w:rsid w:val="54565AB3"/>
    <w:rsid w:val="54586E42"/>
    <w:rsid w:val="545D7C1E"/>
    <w:rsid w:val="545F0C4D"/>
    <w:rsid w:val="54661107"/>
    <w:rsid w:val="54672CD4"/>
    <w:rsid w:val="547312A9"/>
    <w:rsid w:val="547475CB"/>
    <w:rsid w:val="547A5E91"/>
    <w:rsid w:val="54855995"/>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014A8"/>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CD3698"/>
    <w:rsid w:val="55E71247"/>
    <w:rsid w:val="55E86D2F"/>
    <w:rsid w:val="55F13216"/>
    <w:rsid w:val="55F53DC2"/>
    <w:rsid w:val="55FB38C2"/>
    <w:rsid w:val="55FB4CD1"/>
    <w:rsid w:val="56053A66"/>
    <w:rsid w:val="560B7B72"/>
    <w:rsid w:val="560C7E69"/>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304D9"/>
    <w:rsid w:val="56A45DC2"/>
    <w:rsid w:val="56AF6C9F"/>
    <w:rsid w:val="56BD1AE8"/>
    <w:rsid w:val="56BF5743"/>
    <w:rsid w:val="56C27DE2"/>
    <w:rsid w:val="56C349BD"/>
    <w:rsid w:val="56C40E49"/>
    <w:rsid w:val="56C4498B"/>
    <w:rsid w:val="56CC6FA0"/>
    <w:rsid w:val="56CE6AB5"/>
    <w:rsid w:val="56CE7DC5"/>
    <w:rsid w:val="56CF6FFE"/>
    <w:rsid w:val="56D2219C"/>
    <w:rsid w:val="56DC7BFA"/>
    <w:rsid w:val="56E53A56"/>
    <w:rsid w:val="56E751E6"/>
    <w:rsid w:val="56E81BEE"/>
    <w:rsid w:val="56EA1F60"/>
    <w:rsid w:val="56EE3D43"/>
    <w:rsid w:val="56F91557"/>
    <w:rsid w:val="56FB0BAB"/>
    <w:rsid w:val="57080827"/>
    <w:rsid w:val="570D4204"/>
    <w:rsid w:val="5711084C"/>
    <w:rsid w:val="57112AC8"/>
    <w:rsid w:val="57125F43"/>
    <w:rsid w:val="571473A3"/>
    <w:rsid w:val="57196CD6"/>
    <w:rsid w:val="5727583C"/>
    <w:rsid w:val="5734689E"/>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51A82"/>
    <w:rsid w:val="57CB091F"/>
    <w:rsid w:val="57D6465B"/>
    <w:rsid w:val="57DC28D9"/>
    <w:rsid w:val="57E43A4F"/>
    <w:rsid w:val="57EF3C6A"/>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407631"/>
    <w:rsid w:val="59432B71"/>
    <w:rsid w:val="59464C73"/>
    <w:rsid w:val="59482413"/>
    <w:rsid w:val="5950639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118DC"/>
    <w:rsid w:val="5AC40155"/>
    <w:rsid w:val="5AC51C42"/>
    <w:rsid w:val="5ACA67BF"/>
    <w:rsid w:val="5ADB4308"/>
    <w:rsid w:val="5AE02F24"/>
    <w:rsid w:val="5AE84AF6"/>
    <w:rsid w:val="5AE868B2"/>
    <w:rsid w:val="5AEC44BD"/>
    <w:rsid w:val="5AEE30DA"/>
    <w:rsid w:val="5AF514F0"/>
    <w:rsid w:val="5B025824"/>
    <w:rsid w:val="5B055EB1"/>
    <w:rsid w:val="5B08472A"/>
    <w:rsid w:val="5B0937AB"/>
    <w:rsid w:val="5B0A2C87"/>
    <w:rsid w:val="5B127B67"/>
    <w:rsid w:val="5B183C22"/>
    <w:rsid w:val="5B1D3757"/>
    <w:rsid w:val="5B217D0A"/>
    <w:rsid w:val="5B276FBD"/>
    <w:rsid w:val="5B2F6C65"/>
    <w:rsid w:val="5B382761"/>
    <w:rsid w:val="5B3B1A3B"/>
    <w:rsid w:val="5B3F5E85"/>
    <w:rsid w:val="5B461140"/>
    <w:rsid w:val="5B544C09"/>
    <w:rsid w:val="5B546635"/>
    <w:rsid w:val="5B591FEE"/>
    <w:rsid w:val="5B5C4B9E"/>
    <w:rsid w:val="5B5D6360"/>
    <w:rsid w:val="5B650C24"/>
    <w:rsid w:val="5B6C1370"/>
    <w:rsid w:val="5B700C48"/>
    <w:rsid w:val="5B762836"/>
    <w:rsid w:val="5B861DFE"/>
    <w:rsid w:val="5B8B4481"/>
    <w:rsid w:val="5B8F3139"/>
    <w:rsid w:val="5B8F6725"/>
    <w:rsid w:val="5B961544"/>
    <w:rsid w:val="5B9C0BB9"/>
    <w:rsid w:val="5B9D2958"/>
    <w:rsid w:val="5BA4506F"/>
    <w:rsid w:val="5BAA1566"/>
    <w:rsid w:val="5BAC5FEF"/>
    <w:rsid w:val="5BAC660D"/>
    <w:rsid w:val="5BB90A97"/>
    <w:rsid w:val="5BC80573"/>
    <w:rsid w:val="5BC973B5"/>
    <w:rsid w:val="5BCB4FCC"/>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464FB"/>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E50AB"/>
    <w:rsid w:val="5DA213F9"/>
    <w:rsid w:val="5DA42995"/>
    <w:rsid w:val="5DA80CB5"/>
    <w:rsid w:val="5DAF50E1"/>
    <w:rsid w:val="5DB025E9"/>
    <w:rsid w:val="5DB3412C"/>
    <w:rsid w:val="5DB426A0"/>
    <w:rsid w:val="5DB76601"/>
    <w:rsid w:val="5DB77D64"/>
    <w:rsid w:val="5DC016EE"/>
    <w:rsid w:val="5DC22768"/>
    <w:rsid w:val="5DC3433E"/>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933D7"/>
    <w:rsid w:val="5EDD6588"/>
    <w:rsid w:val="5EE35981"/>
    <w:rsid w:val="5EE75B30"/>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D2776"/>
    <w:rsid w:val="5F615247"/>
    <w:rsid w:val="5F6A5A0A"/>
    <w:rsid w:val="5F73758B"/>
    <w:rsid w:val="5F796C02"/>
    <w:rsid w:val="5F7A3813"/>
    <w:rsid w:val="5F7B787C"/>
    <w:rsid w:val="5F7C348D"/>
    <w:rsid w:val="5F7D2DFF"/>
    <w:rsid w:val="5F8E07ED"/>
    <w:rsid w:val="5F9D5EA1"/>
    <w:rsid w:val="5F9D7BCF"/>
    <w:rsid w:val="5FA03264"/>
    <w:rsid w:val="5FA06CEB"/>
    <w:rsid w:val="5FA474BD"/>
    <w:rsid w:val="5FA67313"/>
    <w:rsid w:val="5FAF6A8E"/>
    <w:rsid w:val="5FB41C12"/>
    <w:rsid w:val="5FB66F77"/>
    <w:rsid w:val="5FBD0EC7"/>
    <w:rsid w:val="5FC23A38"/>
    <w:rsid w:val="5FC458D2"/>
    <w:rsid w:val="5FCE6F1E"/>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1A3125"/>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73830"/>
    <w:rsid w:val="608C48FA"/>
    <w:rsid w:val="608C7C9B"/>
    <w:rsid w:val="608D00EE"/>
    <w:rsid w:val="60934A43"/>
    <w:rsid w:val="609457A2"/>
    <w:rsid w:val="609542E0"/>
    <w:rsid w:val="609C313D"/>
    <w:rsid w:val="60A759FE"/>
    <w:rsid w:val="60B17E63"/>
    <w:rsid w:val="60B40EFB"/>
    <w:rsid w:val="60BA3688"/>
    <w:rsid w:val="60BE3A10"/>
    <w:rsid w:val="60BE7F1C"/>
    <w:rsid w:val="60C00D53"/>
    <w:rsid w:val="60C41F6D"/>
    <w:rsid w:val="60C66A6E"/>
    <w:rsid w:val="60CB2759"/>
    <w:rsid w:val="60D44DA5"/>
    <w:rsid w:val="60DC2AE2"/>
    <w:rsid w:val="60DE494B"/>
    <w:rsid w:val="60E0373A"/>
    <w:rsid w:val="60E264E0"/>
    <w:rsid w:val="60E33A55"/>
    <w:rsid w:val="60E43BF8"/>
    <w:rsid w:val="60EF18DB"/>
    <w:rsid w:val="60F65117"/>
    <w:rsid w:val="60F87843"/>
    <w:rsid w:val="61043A4B"/>
    <w:rsid w:val="610C0BE1"/>
    <w:rsid w:val="610F24C5"/>
    <w:rsid w:val="611013A5"/>
    <w:rsid w:val="61106AAF"/>
    <w:rsid w:val="6111106A"/>
    <w:rsid w:val="611C718C"/>
    <w:rsid w:val="612D5100"/>
    <w:rsid w:val="612D5E57"/>
    <w:rsid w:val="613017D1"/>
    <w:rsid w:val="61323CEA"/>
    <w:rsid w:val="61336D62"/>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0656F"/>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D3E2B"/>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8E47DC"/>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B3555"/>
    <w:rsid w:val="63DD5AA5"/>
    <w:rsid w:val="63EF4DEA"/>
    <w:rsid w:val="63F02D8E"/>
    <w:rsid w:val="63F36307"/>
    <w:rsid w:val="63F877DE"/>
    <w:rsid w:val="63FE4857"/>
    <w:rsid w:val="63FF21E8"/>
    <w:rsid w:val="6400198D"/>
    <w:rsid w:val="64034D1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5487A"/>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31370D"/>
    <w:rsid w:val="653208EA"/>
    <w:rsid w:val="653331D8"/>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12353"/>
    <w:rsid w:val="65755AA9"/>
    <w:rsid w:val="657701D4"/>
    <w:rsid w:val="657763D1"/>
    <w:rsid w:val="6577679C"/>
    <w:rsid w:val="65807AD8"/>
    <w:rsid w:val="65822FE0"/>
    <w:rsid w:val="65886C99"/>
    <w:rsid w:val="658B3278"/>
    <w:rsid w:val="658B4DD9"/>
    <w:rsid w:val="659B3091"/>
    <w:rsid w:val="65A16EE2"/>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A32918"/>
    <w:rsid w:val="66A70D0C"/>
    <w:rsid w:val="66A7156D"/>
    <w:rsid w:val="66A73E68"/>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6719A"/>
    <w:rsid w:val="670E396A"/>
    <w:rsid w:val="671B08CF"/>
    <w:rsid w:val="671F1657"/>
    <w:rsid w:val="67206181"/>
    <w:rsid w:val="67243A92"/>
    <w:rsid w:val="67333E25"/>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779B3"/>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2015"/>
    <w:rsid w:val="68223ABA"/>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5D49"/>
    <w:rsid w:val="693915C0"/>
    <w:rsid w:val="694F2305"/>
    <w:rsid w:val="69536376"/>
    <w:rsid w:val="69552E6A"/>
    <w:rsid w:val="695D425A"/>
    <w:rsid w:val="69611823"/>
    <w:rsid w:val="696162DF"/>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84057"/>
    <w:rsid w:val="6AD93FB1"/>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7B270E"/>
    <w:rsid w:val="6B7F2048"/>
    <w:rsid w:val="6B832B21"/>
    <w:rsid w:val="6B867E5C"/>
    <w:rsid w:val="6B88607A"/>
    <w:rsid w:val="6B9150FF"/>
    <w:rsid w:val="6B946BF3"/>
    <w:rsid w:val="6BA2350F"/>
    <w:rsid w:val="6BA31178"/>
    <w:rsid w:val="6BB2108D"/>
    <w:rsid w:val="6BBA4ECD"/>
    <w:rsid w:val="6BD0504C"/>
    <w:rsid w:val="6BD4209E"/>
    <w:rsid w:val="6BD639FA"/>
    <w:rsid w:val="6BD82F70"/>
    <w:rsid w:val="6BDB61D4"/>
    <w:rsid w:val="6BE123A6"/>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434FE"/>
    <w:rsid w:val="6DA86646"/>
    <w:rsid w:val="6DAE1C38"/>
    <w:rsid w:val="6DB2070A"/>
    <w:rsid w:val="6DB7599D"/>
    <w:rsid w:val="6DC12404"/>
    <w:rsid w:val="6DC24126"/>
    <w:rsid w:val="6DC3540E"/>
    <w:rsid w:val="6DC96A9D"/>
    <w:rsid w:val="6DCD448E"/>
    <w:rsid w:val="6DD53FF8"/>
    <w:rsid w:val="6DD65E32"/>
    <w:rsid w:val="6DD829F0"/>
    <w:rsid w:val="6DDF7647"/>
    <w:rsid w:val="6DE36825"/>
    <w:rsid w:val="6DE53394"/>
    <w:rsid w:val="6DE70C3E"/>
    <w:rsid w:val="6DE7336C"/>
    <w:rsid w:val="6DFC7B9F"/>
    <w:rsid w:val="6E0760D0"/>
    <w:rsid w:val="6E0927C5"/>
    <w:rsid w:val="6E1003B9"/>
    <w:rsid w:val="6E1158BA"/>
    <w:rsid w:val="6E185997"/>
    <w:rsid w:val="6E1A373A"/>
    <w:rsid w:val="6E1A7481"/>
    <w:rsid w:val="6E1B105E"/>
    <w:rsid w:val="6E1F5D69"/>
    <w:rsid w:val="6E220C97"/>
    <w:rsid w:val="6E224A5B"/>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DF7C9D"/>
    <w:rsid w:val="6EEA4297"/>
    <w:rsid w:val="6EF00518"/>
    <w:rsid w:val="6EF219BB"/>
    <w:rsid w:val="6EFC16BD"/>
    <w:rsid w:val="6F004303"/>
    <w:rsid w:val="6F045596"/>
    <w:rsid w:val="6F06324C"/>
    <w:rsid w:val="6F0810D3"/>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8667D"/>
    <w:rsid w:val="71196FB8"/>
    <w:rsid w:val="711D328F"/>
    <w:rsid w:val="71224D9E"/>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EE15A5"/>
    <w:rsid w:val="71F33B55"/>
    <w:rsid w:val="71F57D74"/>
    <w:rsid w:val="71FB423C"/>
    <w:rsid w:val="71FD3650"/>
    <w:rsid w:val="71FF1039"/>
    <w:rsid w:val="72072567"/>
    <w:rsid w:val="72087B4A"/>
    <w:rsid w:val="72090D71"/>
    <w:rsid w:val="72091C86"/>
    <w:rsid w:val="720E20AA"/>
    <w:rsid w:val="721B42A2"/>
    <w:rsid w:val="721E4D37"/>
    <w:rsid w:val="72210BEB"/>
    <w:rsid w:val="722A42EA"/>
    <w:rsid w:val="723177B6"/>
    <w:rsid w:val="7234447E"/>
    <w:rsid w:val="723F4D85"/>
    <w:rsid w:val="723F77B4"/>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F7F25"/>
    <w:rsid w:val="72C8603B"/>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838D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13598"/>
    <w:rsid w:val="73A44B88"/>
    <w:rsid w:val="73AC4F28"/>
    <w:rsid w:val="73AF6D73"/>
    <w:rsid w:val="73B075D1"/>
    <w:rsid w:val="73BA45DB"/>
    <w:rsid w:val="73BA7013"/>
    <w:rsid w:val="73BE10D0"/>
    <w:rsid w:val="73C75F94"/>
    <w:rsid w:val="73CC32DE"/>
    <w:rsid w:val="73D1234D"/>
    <w:rsid w:val="73DA5F96"/>
    <w:rsid w:val="73DB2094"/>
    <w:rsid w:val="73E15536"/>
    <w:rsid w:val="73E838A6"/>
    <w:rsid w:val="73E87940"/>
    <w:rsid w:val="73EF34A0"/>
    <w:rsid w:val="73F33807"/>
    <w:rsid w:val="73F67C10"/>
    <w:rsid w:val="73FC210E"/>
    <w:rsid w:val="740230FB"/>
    <w:rsid w:val="7407465A"/>
    <w:rsid w:val="740870DF"/>
    <w:rsid w:val="740F2555"/>
    <w:rsid w:val="740F2B8B"/>
    <w:rsid w:val="740F2BA4"/>
    <w:rsid w:val="74142294"/>
    <w:rsid w:val="741500CE"/>
    <w:rsid w:val="74185F17"/>
    <w:rsid w:val="741E5779"/>
    <w:rsid w:val="742227D1"/>
    <w:rsid w:val="74277835"/>
    <w:rsid w:val="74283D09"/>
    <w:rsid w:val="742B00D0"/>
    <w:rsid w:val="742E587E"/>
    <w:rsid w:val="743965EB"/>
    <w:rsid w:val="74410C1E"/>
    <w:rsid w:val="744810E9"/>
    <w:rsid w:val="74525205"/>
    <w:rsid w:val="745471DF"/>
    <w:rsid w:val="745D77C8"/>
    <w:rsid w:val="74621861"/>
    <w:rsid w:val="74663D42"/>
    <w:rsid w:val="746718EB"/>
    <w:rsid w:val="746D2128"/>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1696E"/>
    <w:rsid w:val="75CA3F84"/>
    <w:rsid w:val="75CD7D4D"/>
    <w:rsid w:val="75D44B9C"/>
    <w:rsid w:val="75D6554E"/>
    <w:rsid w:val="75D9472D"/>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10AF5"/>
    <w:rsid w:val="765510D9"/>
    <w:rsid w:val="7655596E"/>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84032"/>
    <w:rsid w:val="772209CB"/>
    <w:rsid w:val="7723195D"/>
    <w:rsid w:val="772A1315"/>
    <w:rsid w:val="7734235A"/>
    <w:rsid w:val="773522A4"/>
    <w:rsid w:val="773D2B51"/>
    <w:rsid w:val="773F59CC"/>
    <w:rsid w:val="774E7377"/>
    <w:rsid w:val="774F2C47"/>
    <w:rsid w:val="774F5379"/>
    <w:rsid w:val="77531C2A"/>
    <w:rsid w:val="77537360"/>
    <w:rsid w:val="77570DA5"/>
    <w:rsid w:val="77583047"/>
    <w:rsid w:val="775A67F8"/>
    <w:rsid w:val="775D0DCF"/>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F421C"/>
    <w:rsid w:val="77B16742"/>
    <w:rsid w:val="77B36B5D"/>
    <w:rsid w:val="77B61118"/>
    <w:rsid w:val="77B75A06"/>
    <w:rsid w:val="77C0217C"/>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D1910"/>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BB450B"/>
    <w:rsid w:val="78BE4DB9"/>
    <w:rsid w:val="78C54E82"/>
    <w:rsid w:val="78C60ED3"/>
    <w:rsid w:val="78C6582A"/>
    <w:rsid w:val="78C709C2"/>
    <w:rsid w:val="78C9747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87602"/>
    <w:rsid w:val="79FA136D"/>
    <w:rsid w:val="79FD3BCB"/>
    <w:rsid w:val="7A040D63"/>
    <w:rsid w:val="7A05786A"/>
    <w:rsid w:val="7A0D7065"/>
    <w:rsid w:val="7A195FFA"/>
    <w:rsid w:val="7A1A0922"/>
    <w:rsid w:val="7A1B3F1C"/>
    <w:rsid w:val="7A200264"/>
    <w:rsid w:val="7A23724A"/>
    <w:rsid w:val="7A25754C"/>
    <w:rsid w:val="7A271E15"/>
    <w:rsid w:val="7A283BF5"/>
    <w:rsid w:val="7A2F4BCF"/>
    <w:rsid w:val="7A2F717B"/>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F7981"/>
    <w:rsid w:val="7A821419"/>
    <w:rsid w:val="7A831E06"/>
    <w:rsid w:val="7A874FD1"/>
    <w:rsid w:val="7A9143C1"/>
    <w:rsid w:val="7AAB2D5F"/>
    <w:rsid w:val="7AAC38E0"/>
    <w:rsid w:val="7ABF10D1"/>
    <w:rsid w:val="7AC03E60"/>
    <w:rsid w:val="7AC36589"/>
    <w:rsid w:val="7AC743A7"/>
    <w:rsid w:val="7ACC5D32"/>
    <w:rsid w:val="7AD75598"/>
    <w:rsid w:val="7ADA08CB"/>
    <w:rsid w:val="7ADE7D20"/>
    <w:rsid w:val="7AE16BF9"/>
    <w:rsid w:val="7AE6530E"/>
    <w:rsid w:val="7AEF0262"/>
    <w:rsid w:val="7AF70369"/>
    <w:rsid w:val="7B0A1118"/>
    <w:rsid w:val="7B111DBF"/>
    <w:rsid w:val="7B1846E5"/>
    <w:rsid w:val="7B1C2184"/>
    <w:rsid w:val="7B287AC2"/>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A143F"/>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E5B95"/>
    <w:rsid w:val="7C50383B"/>
    <w:rsid w:val="7C5576F9"/>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033785"/>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D1297"/>
    <w:rsid w:val="7DDE1D84"/>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71CC0"/>
    <w:rsid w:val="7E1B6E9F"/>
    <w:rsid w:val="7E1C7387"/>
    <w:rsid w:val="7E1D54AF"/>
    <w:rsid w:val="7E2D414D"/>
    <w:rsid w:val="7E2D53BF"/>
    <w:rsid w:val="7E2F4A5F"/>
    <w:rsid w:val="7E327A15"/>
    <w:rsid w:val="7E375DC9"/>
    <w:rsid w:val="7E3D2B8F"/>
    <w:rsid w:val="7E403F72"/>
    <w:rsid w:val="7E4854DF"/>
    <w:rsid w:val="7E5B6848"/>
    <w:rsid w:val="7E665777"/>
    <w:rsid w:val="7E67389E"/>
    <w:rsid w:val="7E685078"/>
    <w:rsid w:val="7E695545"/>
    <w:rsid w:val="7E7D14C2"/>
    <w:rsid w:val="7E807CD3"/>
    <w:rsid w:val="7E81776E"/>
    <w:rsid w:val="7E827AA6"/>
    <w:rsid w:val="7E8B5F9F"/>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E339D"/>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80036"/>
    <w:rsid w:val="7FCC7410"/>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28</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2021-04-02T13:30:13Z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